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oter+xml" PartName="/word/footer.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1.0 (Apache licensed) using REFERENCE JAXB in Amazon.com Inc. Java 11.0.7 on Linux -->
    <w:sectPr>
      <w:footerReference w:type="default" r:id="rId3"/>
      <w:type w:val="continuous"/>
      <w:pgMar w:top="1440" w:right="1440" w:bottom="1440" w:left="1440"/>
      <w:cols w:space="720"/>
    </w:sectPr>
    <w:p>
      <w:pPr>
        <w:keepNext w:val="true"/>
        <w:keepLines w:val="true"/>
        <w:jc w:val="left"/>
      </w:pPr>
      <w:r>
        <w:rPr>
          <w:rFonts w:ascii="Times New Roman"/>
          <w:sz w:val="28"/>
        </w:rPr>
        <w:t>Student name:__________</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TRUE/FALSE - Write 'T' if the statement is true and 'F' if the statement is false.</w:t>
        <w:br/>
      </w:r>
      <w:r>
        <w:rPr>
          <w:rFonts w:ascii="Times New Roman"/>
          <w:b/>
          <w:sz w:val="24"/>
        </w:rPr>
        <w:t>1)</w:t>
        <w:tab/>
      </w:r>
      <w:r>
        <w:rPr>
          <w:rFonts w:ascii="Times New Roman"/>
          <w:b w:val="false"/>
          <w:i w:val="false"/>
          <w:color w:val="000000"/>
          <w:sz w:val="24"/>
        </w:rPr>
        <w:t>A tax meets the standard of sufficiency if it is easy for people to pay the tax.</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w:t>
        <w:tab/>
      </w:r>
      <w:r>
        <w:rPr>
          <w:rFonts w:ascii="Times New Roman"/>
          <w:b w:val="false"/>
          <w:i w:val="false"/>
          <w:color w:val="000000"/>
          <w:sz w:val="24"/>
        </w:rPr>
        <w:t>The federal government is not required to pay interest on the national debt.</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w:t>
        <w:tab/>
      </w:r>
      <w:r>
        <w:rPr>
          <w:rFonts w:ascii="Times New Roman"/>
          <w:b w:val="false"/>
          <w:i w:val="false"/>
          <w:color w:val="000000"/>
          <w:sz w:val="24"/>
        </w:rPr>
        <w:t>A static forecast of the revenue effect of a tax rate change assumes that the tax base does not change.</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w:t>
        <w:tab/>
      </w:r>
      <w:r>
        <w:rPr>
          <w:rFonts w:ascii="Times New Roman"/>
          <w:b w:val="false"/>
          <w:i w:val="false"/>
          <w:color w:val="000000"/>
          <w:sz w:val="24"/>
        </w:rPr>
        <w:t>A dynamic forecast of the revenue effect of a tax rate change assumes that the tax base does not change.</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w:t>
        <w:tab/>
      </w:r>
      <w:r>
        <w:rPr>
          <w:rFonts w:ascii="Times New Roman"/>
          <w:b w:val="false"/>
          <w:i w:val="false"/>
          <w:color w:val="000000"/>
          <w:sz w:val="24"/>
        </w:rPr>
        <w:t>The federal Social Security tax burden on employees has not increased since 1990 because the tax rate has not increased since that year.</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w:t>
        <w:tab/>
      </w:r>
      <w:r>
        <w:rPr>
          <w:rFonts w:ascii="Times New Roman"/>
          <w:b w:val="false"/>
          <w:i w:val="false"/>
          <w:color w:val="000000"/>
          <w:sz w:val="24"/>
        </w:rPr>
        <w:t>If State H increases its sales tax rate by 1%, its sales tax revenue must also increase by 1%.</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w:t>
        <w:tab/>
      </w:r>
      <w:r>
        <w:rPr>
          <w:rFonts w:ascii="Times New Roman"/>
          <w:b w:val="false"/>
          <w:i w:val="false"/>
          <w:color w:val="000000"/>
          <w:sz w:val="24"/>
        </w:rPr>
        <w:t>The city of Berne recently enacted a 10% tax on the price of a subway ticket. Consequently, Mrs. Lane now walks to work instead of taking the subway. Her behavior illustrates the substitution effect of a tax increase.</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w:t>
        <w:tab/>
      </w:r>
      <w:r>
        <w:rPr>
          <w:rFonts w:ascii="Times New Roman"/>
          <w:b w:val="false"/>
          <w:i w:val="false"/>
          <w:color w:val="000000"/>
          <w:sz w:val="24"/>
        </w:rPr>
        <w:t>Jurisdiction P recently increased its income tax rate. A taxpayer who reacts to the increase by working harder to earn more income is demonstrating the income effect of the rate increase.</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w:t>
        <w:tab/>
      </w:r>
      <w:r>
        <w:rPr>
          <w:rFonts w:ascii="Times New Roman"/>
          <w:b w:val="false"/>
          <w:i w:val="false"/>
          <w:color w:val="000000"/>
          <w:sz w:val="24"/>
        </w:rPr>
        <w:t>According to supply-side economic theory, a decrease in tax rates for high-income individuals could actually cause an increase in tax revenue.</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w:t>
        <w:tab/>
      </w:r>
      <w:r>
        <w:rPr>
          <w:rFonts w:ascii="Times New Roman"/>
          <w:b w:val="false"/>
          <w:i w:val="false"/>
          <w:color w:val="000000"/>
          <w:sz w:val="24"/>
        </w:rPr>
        <w:t>Supply-side economic theory holds that people who benefit from a tax rate reduction will spend their tax windfall on consumption goods.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w:t>
        <w:tab/>
      </w:r>
      <w:r>
        <w:rPr>
          <w:rFonts w:ascii="Times New Roman"/>
          <w:b w:val="false"/>
          <w:i w:val="false"/>
          <w:color w:val="000000"/>
          <w:sz w:val="24"/>
        </w:rPr>
        <w:t>State use taxes are more convenient for individual consumers than state sales taxes.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w:t>
        <w:tab/>
      </w:r>
      <w:r>
        <w:rPr>
          <w:rFonts w:ascii="Times New Roman"/>
          <w:b w:val="false"/>
          <w:i w:val="false"/>
          <w:color w:val="000000"/>
          <w:sz w:val="24"/>
        </w:rPr>
        <w:t>The Internal Revenue Service's cost of collecting $100 of tax revenue is about $3.</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w:t>
        <w:tab/>
      </w:r>
      <w:r>
        <w:rPr>
          <w:rFonts w:ascii="Times New Roman"/>
          <w:b w:val="false"/>
          <w:i w:val="false"/>
          <w:color w:val="000000"/>
          <w:sz w:val="24"/>
        </w:rPr>
        <w:t>A convenient tax has low compliance costs for taxpayers and low collection and enforcement costs for the government.</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14)</w:t>
        <w:tab/>
      </w:r>
      <w:r>
        <w:rPr>
          <w:rFonts w:ascii="Times New Roman"/>
          <w:b w:val="false"/>
          <w:i w:val="false"/>
          <w:color w:val="000000"/>
          <w:sz w:val="24"/>
        </w:rPr>
        <w:t>According to the classical concept of efficiency, an efficient tax should be neutral in its effect on free market allocations of economic resources.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15)</w:t>
        <w:tab/>
      </w:r>
      <w:r>
        <w:rPr>
          <w:rFonts w:ascii="Times New Roman"/>
          <w:b w:val="false"/>
          <w:i w:val="false"/>
          <w:color w:val="000000"/>
          <w:sz w:val="24"/>
        </w:rPr>
        <w:t>According to the Keynesian concept of efficiency, an efficient tax should be neutral in its effect on free market allocations of economic resources.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16)</w:t>
        <w:tab/>
      </w:r>
      <w:r>
        <w:rPr>
          <w:rFonts w:ascii="Times New Roman"/>
          <w:b w:val="false"/>
          <w:i w:val="false"/>
          <w:color w:val="000000"/>
          <w:sz w:val="24"/>
        </w:rPr>
        <w:t>A tax meets the standard of efficiency if it generates enough revenue to pay for the public goods and services provided by the government.</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17)</w:t>
        <w:tab/>
      </w:r>
      <w:r>
        <w:rPr>
          <w:rFonts w:ascii="Times New Roman"/>
          <w:b w:val="false"/>
          <w:i w:val="false"/>
          <w:color w:val="000000"/>
          <w:sz w:val="24"/>
        </w:rPr>
        <w:t>A provision in the tax law designed to encourage a specific economic behavior is a tax preference.</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18)</w:t>
        <w:tab/>
      </w:r>
      <w:r>
        <w:rPr>
          <w:rFonts w:ascii="Times New Roman"/>
          <w:b w:val="false"/>
          <w:i w:val="false"/>
          <w:color w:val="000000"/>
          <w:sz w:val="24"/>
        </w:rPr>
        <w:t>A tax should result in either horizontal or vertical equity across taxpayers.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19)</w:t>
        <w:tab/>
      </w:r>
      <w:r>
        <w:rPr>
          <w:rFonts w:ascii="Times New Roman"/>
          <w:b w:val="false"/>
          <w:i w:val="false"/>
          <w:color w:val="000000"/>
          <w:sz w:val="24"/>
        </w:rPr>
        <w:t>Changes in the tax law intended to make the measurement of taxable income more precise usually make the tax law less complex.</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20)</w:t>
        <w:tab/>
      </w:r>
      <w:r>
        <w:rPr>
          <w:rFonts w:ascii="Times New Roman"/>
          <w:b w:val="false"/>
          <w:i w:val="false"/>
          <w:color w:val="000000"/>
          <w:sz w:val="24"/>
        </w:rPr>
        <w:t>Vertical equity focuses on measurement of the tax base, and horizontal equity focuses on the tax rate structure.</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21)</w:t>
        <w:tab/>
      </w:r>
      <w:r>
        <w:rPr>
          <w:rFonts w:ascii="Times New Roman"/>
          <w:b w:val="false"/>
          <w:i w:val="false"/>
          <w:color w:val="000000"/>
          <w:sz w:val="24"/>
        </w:rPr>
        <w:t>Tax systems with regressive rate structures result in a proportionally heavier tax burden on persons with smaller tax bases.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22)</w:t>
        <w:tab/>
      </w:r>
      <w:r>
        <w:rPr>
          <w:rFonts w:ascii="Times New Roman"/>
          <w:b w:val="false"/>
          <w:i w:val="false"/>
          <w:color w:val="000000"/>
          <w:sz w:val="24"/>
        </w:rPr>
        <w:t>A progressive rate structure and a proportionate rate structure both result in vertical equity across taxpayers.</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23)</w:t>
        <w:tab/>
      </w:r>
      <w:r>
        <w:rPr>
          <w:rFonts w:ascii="Times New Roman"/>
          <w:b w:val="false"/>
          <w:i w:val="false"/>
          <w:color w:val="000000"/>
          <w:sz w:val="24"/>
        </w:rPr>
        <w:t>The U.S. individual income tax has always used a progressive rate structure.</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24)</w:t>
        <w:tab/>
      </w:r>
      <w:r>
        <w:rPr>
          <w:rFonts w:ascii="Times New Roman"/>
          <w:b w:val="false"/>
          <w:i w:val="false"/>
          <w:color w:val="000000"/>
          <w:sz w:val="24"/>
        </w:rPr>
        <w:t>The declining marginal utility of income across individuals can be measured empirically.</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25)</w:t>
        <w:tab/>
      </w:r>
      <w:r>
        <w:rPr>
          <w:rFonts w:ascii="Times New Roman"/>
          <w:b w:val="false"/>
          <w:i w:val="false"/>
          <w:color w:val="000000"/>
          <w:sz w:val="24"/>
        </w:rPr>
        <w:t>Tax liability divided by taxable income equals marginal tax rate.</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26)</w:t>
        <w:tab/>
      </w:r>
      <w:r>
        <w:rPr>
          <w:rFonts w:ascii="Times New Roman"/>
          <w:b w:val="false"/>
          <w:i w:val="false"/>
          <w:color w:val="000000"/>
          <w:sz w:val="24"/>
        </w:rPr>
        <w:t>If a tax has a proportionate rate structure, a taxpayer's marginal rate and average rate are equal.</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27)</w:t>
        <w:tab/>
      </w:r>
      <w:r>
        <w:rPr>
          <w:rFonts w:ascii="Times New Roman"/>
          <w:b w:val="false"/>
          <w:i w:val="false"/>
          <w:color w:val="000000"/>
          <w:sz w:val="24"/>
        </w:rPr>
        <w:t>If a tax has a progressive rate structure, a taxpayer's average rate is greater than her marginal rate.</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28)</w:t>
        <w:tab/>
      </w:r>
      <w:r>
        <w:rPr>
          <w:rFonts w:ascii="Times New Roman"/>
          <w:b w:val="false"/>
          <w:i w:val="false"/>
          <w:color w:val="000000"/>
          <w:sz w:val="24"/>
        </w:rPr>
        <w:t>The theory of distributional justice is a rationale for a progressive income tax system.</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29)</w:t>
        <w:tab/>
      </w:r>
      <w:r>
        <w:rPr>
          <w:rFonts w:ascii="Times New Roman"/>
          <w:b w:val="false"/>
          <w:i w:val="false"/>
          <w:color w:val="000000"/>
          <w:sz w:val="24"/>
        </w:rPr>
        <w:t>Individuals who believe that a tax system is fair are less likely to cheat on their taxes than individuals who believe that the system is unfair.</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30)</w:t>
        <w:tab/>
      </w:r>
      <w:r>
        <w:rPr>
          <w:rFonts w:ascii="Times New Roman"/>
          <w:b w:val="false"/>
          <w:i w:val="false"/>
          <w:color w:val="000000"/>
          <w:sz w:val="24"/>
        </w:rPr>
        <w:t>Many taxpayers believe the income tax system is unfair because it is so complicated.</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t>⊚</w:t>
        <w:tab/>
        <w:t>true</w:t>
        <w:br/>
      </w:r>
      <w:r>
        <w:rPr>
          <w:rFonts w:ascii="Times New Roman"/>
          <w:sz w:val="24"/>
        </w:rPr>
        <w:tab/>
        <w:t>⊚</w:t>
        <w:tab/>
        <w:t>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MULTIPLE CHOICE - Choose the one alternative that best completes the statement or answers the question.</w:t>
        <w:br/>
      </w:r>
      <w:r>
        <w:rPr>
          <w:rFonts w:ascii="Times New Roman"/>
          <w:b/>
          <w:sz w:val="24"/>
        </w:rPr>
        <w:t>31)</w:t>
        <w:tab/>
      </w:r>
      <w:r>
        <w:rPr>
          <w:rFonts w:ascii="Times New Roman"/>
          <w:b w:val="false"/>
          <w:i w:val="false"/>
          <w:color w:val="000000"/>
          <w:sz w:val="24"/>
        </w:rPr>
        <w:t>Government officials of Country Z estimate that next year's public programs will cost $19 million but that tax revenues will be only $15 million. The officials could avoid a deficit next year by adopting which of the following fiscal strategies?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Reduce the cost of public programs by $4 million.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Increase taxes by $4 million.</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Borrow $4 million by issuing new government bonds.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All of these strategies will avoid a deficit.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32)</w:t>
        <w:tab/>
      </w:r>
      <w:r>
        <w:rPr>
          <w:rFonts w:ascii="Times New Roman"/>
          <w:b w:val="false"/>
          <w:i w:val="false"/>
          <w:color w:val="000000"/>
          <w:sz w:val="24"/>
        </w:rPr>
        <w:t xml:space="preserve">Government officials of Country Z estimate that next year's public programs will cost $19 million but that tax revenues will be only $15 million. Which of the following statements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Country Z's tax system is sufficient.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Country Z's government is engaging in deficit spending.</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If Country Z must borrow $4 million to pay for its public programs, its national debt will increase by $4 million.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Country Z's government could balance its budget by eliminating a program that costs $4 million.</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33)</w:t>
        <w:tab/>
      </w:r>
      <w:r>
        <w:rPr>
          <w:rFonts w:ascii="Times New Roman"/>
          <w:b w:val="false"/>
          <w:i w:val="false"/>
          <w:color w:val="000000"/>
          <w:sz w:val="24"/>
        </w:rPr>
        <w:t>Government J decides that it must increase its tax revenue. Which of the strategies could result in more revenue?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Increase the rate of an existing tax.</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Expand the base of an existing tax.</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Enact a tax on a new base.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All of these strategies could result in more revenue for Government J.</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34)</w:t>
        <w:tab/>
      </w:r>
      <w:r>
        <w:rPr>
          <w:rFonts w:ascii="Times New Roman"/>
          <w:b w:val="false"/>
          <w:i w:val="false"/>
          <w:color w:val="000000"/>
          <w:sz w:val="24"/>
        </w:rPr>
        <w:t>The government of Nation C operated at a $32 billion deficit this year. The deficit suggests that Nation C's tax system is: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Inefficient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Insufficient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Unfair</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Inconvenient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35)</w:t>
        <w:tab/>
      </w:r>
      <w:r>
        <w:rPr>
          <w:rFonts w:ascii="Times New Roman"/>
          <w:b w:val="false"/>
          <w:i w:val="false"/>
          <w:color w:val="000000"/>
          <w:sz w:val="24"/>
        </w:rPr>
        <w:t>The city of Belleview operated at an $865,000 surplus this year. The surplus suggests that the municipal tax system is:</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Fair</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Efficient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Sufficient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Convenient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36)</w:t>
        <w:tab/>
      </w:r>
      <w:r>
        <w:rPr>
          <w:rFonts w:ascii="Times New Roman"/>
          <w:b w:val="false"/>
          <w:i w:val="false"/>
          <w:color w:val="000000"/>
          <w:sz w:val="24"/>
        </w:rPr>
        <w:t xml:space="preserve">Which of the following statements concerning the federal Social Security tax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tax burden increases annually because the rate generally increases annually.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tax burden increases annually because the base generally increases annually.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Both the rate and the base generally increase annually.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Social Security tax burden has not increased since 1990.</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37)</w:t>
        <w:tab/>
      </w:r>
      <w:r>
        <w:rPr>
          <w:rFonts w:ascii="Times New Roman"/>
          <w:b w:val="false"/>
          <w:i w:val="false"/>
          <w:color w:val="000000"/>
          <w:sz w:val="24"/>
        </w:rPr>
        <w:t>A static forecast of the incremental revenue from a tax rate increase presumes that: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tax base will not change because of the rate increase.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tax base will increase by the same proportion as the rate increase.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tax base will decrease by the same proportion as the rate increase.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tax rate and the tax base are correlated.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38)</w:t>
        <w:tab/>
      </w:r>
      <w:r>
        <w:rPr>
          <w:rFonts w:ascii="Times New Roman"/>
          <w:b w:val="false"/>
          <w:i w:val="false"/>
          <w:color w:val="000000"/>
          <w:sz w:val="24"/>
        </w:rPr>
        <w:t>A dynamic forecast of the incremental revenue from a tax rate increase presumes that: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Taxpayers will not change their behavior because of the rate increase.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tax base will increase by the same proportion as the rate increase.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tax base will decrease by the same proportion as the rate increase.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tax rate and the tax base are correlated.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39)</w:t>
        <w:tab/>
      </w:r>
      <w:r>
        <w:rPr>
          <w:rFonts w:ascii="Times New Roman"/>
          <w:b w:val="false"/>
          <w:i w:val="false"/>
          <w:color w:val="000000"/>
          <w:sz w:val="24"/>
        </w:rPr>
        <w:t xml:space="preserve">Jurisdiction F levies a 10% excise tax on the purchase of golf carts. The annual revenue from this tax averages $800,000 (10% * $8 million average annual golf cart purchases). Jurisdiction F is considering raising the tax rate to 12%. 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rate increase will increase revenue by $160,000.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Based on a dynamic forecast, the rate increase will increase revenue by $160,000.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Based on a static forecast, the rate increase will increase revenue by $160,000.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None of these choices are true.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40)</w:t>
        <w:tab/>
      </w:r>
      <w:r>
        <w:rPr>
          <w:rFonts w:ascii="Times New Roman"/>
          <w:b w:val="false"/>
          <w:i w:val="false"/>
          <w:color w:val="000000"/>
          <w:sz w:val="24"/>
        </w:rPr>
        <w:t xml:space="preserve">Last year, Government G levied a 35% tax on individual income, and Mr. Slate paid $35,000 tax on his $100,000 income. This year, the government increased the tax rate to 40%. Which of the following statements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Based on a static forecast, government G should collect $5,000 additional tax from Mr. Slate this year.</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If Mr. Slate took a second job to maintain his after-tax disposable income, his behavior illustrates a substitution effect of the rate increase.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If Mr. Slate took a second job to maintain his after-tax disposable income, government G should collect more than $5,000 additional tax from him this year.</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If Mr. Slate sold an income-generating investment and used the money for personal consumption, his behavior illustrates a substitution effect of the rate increase.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41)</w:t>
        <w:tab/>
      </w:r>
      <w:r>
        <w:rPr>
          <w:rFonts w:ascii="Times New Roman"/>
          <w:b w:val="false"/>
          <w:i w:val="false"/>
          <w:color w:val="000000"/>
          <w:sz w:val="24"/>
        </w:rPr>
        <w:t xml:space="preserve">Which of the following statements about the substitution effect of an income tax rate increase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substitution effect is theoretically stronger for high-income taxpayers than for low-income taxpayers.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substitution effect is theoretically stronger for a family's secondary wage earner than for the family's primary wage earner.</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substitution effect is theoretically stronger for self-employed individuals who control their own time than for employees whose work schedules are controlled by their employers.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None of these choices are false.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42)</w:t>
        <w:tab/>
      </w:r>
      <w:r>
        <w:rPr>
          <w:rFonts w:ascii="Times New Roman"/>
          <w:b w:val="false"/>
          <w:i w:val="false"/>
          <w:color w:val="000000"/>
          <w:sz w:val="24"/>
        </w:rPr>
        <w:t xml:space="preserve">Which of the following statements about the income effect of an income tax rate increase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income effect is theoretically stronger for low-income taxpayers than for high-income taxpayers.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income effect is theoretically stronger for a family's secondary wage earner than for the family's primary wage earner.</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income effect motivates individuals to find ways to increase their before-tax income.</w:t>
      </w:r>
      <w:r>
        <w:rPr>
          <w:rFonts w:ascii="Times New Roman"/>
          <w:sz w:val="24"/>
        </w:rPr>
      </w:r>
      <w:r>
        <w:rPr>
          <w:rFonts w:ascii="Times New Roman"/>
          <w:sz w:val="24"/>
        </w:rPr>
        <w:br/>
        <w:tab/>
      </w:r>
      <w:r>
        <w:rPr>
          <w:rFonts w:ascii="Times New Roman"/>
          <w:sz w:val="24"/>
        </w:rPr>
        <w:t>D)    Both the income effect is theoretically stronger for low-income taxpayers than for high-income taxpayers and the income effect motivates individuals to find ways to increase their before-tax income are true.</w:t>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43)</w:t>
        <w:tab/>
      </w:r>
      <w:r>
        <w:rPr>
          <w:rFonts w:ascii="Times New Roman"/>
          <w:b w:val="false"/>
          <w:i w:val="false"/>
          <w:color w:val="000000"/>
          <w:sz w:val="24"/>
        </w:rPr>
        <w:t xml:space="preserve">Which of the following statements about the income and substitution effects of an income tax rate increase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income and substitution effects are contradictory behavioral reactions.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From the government's perspective, the substitution effect is more desirable than the income effect.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Faith in the income effect is the foundation for supply-side economic theory.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Dynamic forecasts of incremental tax revenues must consider the potential income effect but not the potential substitution effect of a rate increase.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44)</w:t>
        <w:tab/>
      </w:r>
      <w:r>
        <w:rPr>
          <w:rFonts w:ascii="Times New Roman"/>
          <w:b w:val="false"/>
          <w:i w:val="false"/>
          <w:color w:val="000000"/>
          <w:sz w:val="24"/>
        </w:rPr>
        <w:t>Supply-side economic theory: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Predicts that a decrease in the highest income tax rates will cause an increase in government revenues.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Is inconsistent with the substitution effect.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Was a clear failure following the Reagan administration tax cuts of the 1980s.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Predicts that taxpayers will save their tax windfall from a rate cut rather than spend or investment the windfall.</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45)</w:t>
        <w:tab/>
      </w:r>
      <w:r>
        <w:rPr>
          <w:rFonts w:ascii="Times New Roman"/>
          <w:b w:val="false"/>
          <w:i w:val="false"/>
          <w:color w:val="000000"/>
          <w:sz w:val="24"/>
        </w:rPr>
        <w:t>Which of the following describes a tax that meets the standard of convenience?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 tax that the government can administer without excessive cost.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 tax that is easy for taxpayers to compute and pay.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 tax that minimizes the opportunity for noncompliance.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All of these describe a convenient tax.</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46)</w:t>
        <w:tab/>
      </w:r>
      <w:r>
        <w:rPr>
          <w:rFonts w:ascii="Times New Roman"/>
          <w:b w:val="false"/>
          <w:i w:val="false"/>
          <w:color w:val="000000"/>
          <w:sz w:val="24"/>
        </w:rPr>
        <w:t>Which of the following taxes is most convenient for individuals (purchasers) to pay?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Sales tax</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Use tax</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Federal income tax</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Real property tax</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47)</w:t>
        <w:tab/>
      </w:r>
      <w:r>
        <w:rPr>
          <w:rFonts w:ascii="Times New Roman"/>
          <w:b w:val="false"/>
          <w:i w:val="false"/>
          <w:color w:val="000000"/>
          <w:sz w:val="24"/>
        </w:rPr>
        <w:t xml:space="preserve">Which of the following statements regarding a convenient tax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From the government's viewpoint, a good tax should be convenient to administer.</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From the taxpayer's viewpoint, a good tax should be convenient to pay.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 convenient tax should have a method of collection that offers maximum opportunity for noncompliance.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 convenient tax should permit taxpayers to compute their tax with reasonable certainty without incurring undue costs.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48)</w:t>
        <w:tab/>
      </w:r>
      <w:r>
        <w:rPr>
          <w:rFonts w:ascii="Times New Roman"/>
          <w:b w:val="false"/>
          <w:i w:val="false"/>
          <w:color w:val="000000"/>
          <w:sz w:val="24"/>
        </w:rPr>
        <w:t>Which of the following statements does not describe the classical standard of tax efficiency?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An efficient tax is a neutral factor in a free market economy.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An efficient tax does not change taxpayer behavior.</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An efficient tax encourages full employment.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An efficient tax favors a laissez-faire economy policy.</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49)</w:t>
        <w:tab/>
      </w:r>
      <w:r>
        <w:rPr>
          <w:rFonts w:ascii="Times New Roman"/>
          <w:b w:val="false"/>
          <w:i w:val="false"/>
          <w:color w:val="000000"/>
          <w:sz w:val="24"/>
        </w:rPr>
        <w:t>The statement that "an old tax is a good tax" means that: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Changes in the tax law create uncertainty in the business environment.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Changes in the tax law disrupt traditional planning strategies.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Changes in the tax law increase the compliance burden on businesses.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All of these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50)</w:t>
        <w:tab/>
      </w:r>
      <w:r>
        <w:rPr>
          <w:rFonts w:ascii="Times New Roman"/>
          <w:b w:val="false"/>
          <w:i w:val="false"/>
          <w:color w:val="000000"/>
          <w:sz w:val="24"/>
        </w:rPr>
        <w:t>The city of Hartwell spends about $3 million annually on snow removal. The city is considering amending its real property tax law to allow homeowners to offset the cost of private snow removal against their annual property tax liability. This amendment would affect the: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Fairness of the tax</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Efficiency of the tax</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Sufficiency of the tax</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Convenience of the tax</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51)</w:t>
        <w:tab/>
      </w:r>
      <w:r>
        <w:rPr>
          <w:rFonts w:ascii="Times New Roman"/>
          <w:b w:val="false"/>
          <w:i w:val="false"/>
          <w:color w:val="000000"/>
          <w:sz w:val="24"/>
        </w:rPr>
        <w:t>Which of the following statements does not describe the Keynesian standard of tax efficiency?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An efficient tax encourages economic growth.</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An efficient tax encourages full employment.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An efficient tax encourages price-level stability.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All of these describe the Keynesian standard of tax efficiency.</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52)</w:t>
        <w:tab/>
      </w:r>
      <w:r>
        <w:rPr>
          <w:rFonts w:ascii="Times New Roman"/>
          <w:b w:val="false"/>
          <w:i w:val="false"/>
          <w:color w:val="000000"/>
          <w:sz w:val="24"/>
        </w:rPr>
        <w:t xml:space="preserve">Government L levies a 4% excise tax on restaurant meals. It is considering reducing the rate to 2% on meals served in restaurants that ban cigarette and cigar smoking and to increase the rate to 5% in restaurants that allow smoking. 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rate change would improve the neutrality of the excise tax.</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rate change would improve the convenience of the tax.</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rate change is intended to affect social behavior.</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Both the rate change would improve the convenience of the tax and the rate change is intended to affect social behavior are true.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53)</w:t>
        <w:tab/>
      </w:r>
      <w:r>
        <w:rPr>
          <w:rFonts w:ascii="Times New Roman"/>
          <w:b w:val="false"/>
          <w:i w:val="false"/>
          <w:color w:val="000000"/>
          <w:sz w:val="24"/>
        </w:rPr>
        <w:t xml:space="preserve">Assume the state of California plans to amend its personal income tax laws to allow parents to reduce their tax by the cost of infant car seats. 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amendment creates a tax preference for parents who purchase infant car seats.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amendment is intended to change social behavior.</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amendment increases the neutrality of the tax law.</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Both the amendment creates a tax preference for parents who purchase infant car seats and is also intended to change social behavior are true.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54)</w:t>
        <w:tab/>
      </w:r>
      <w:r>
        <w:rPr>
          <w:rFonts w:ascii="Times New Roman"/>
          <w:b w:val="false"/>
          <w:i w:val="false"/>
          <w:color w:val="000000"/>
          <w:sz w:val="24"/>
        </w:rPr>
        <w:t xml:space="preserve">Which of the following statements concerning tax preferences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Tax preferences increase the complexity of the law.</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Tax preferences raise additional revenue for the government.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Tax preferences are government subsidies for targeted taxpayer activities.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Tax preferences do not improve the accurate measurement of the tax base.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55)</w:t>
        <w:tab/>
      </w:r>
      <w:r>
        <w:rPr>
          <w:rFonts w:ascii="Times New Roman"/>
          <w:b w:val="false"/>
          <w:i w:val="false"/>
          <w:color w:val="000000"/>
          <w:sz w:val="24"/>
        </w:rPr>
        <w:t xml:space="preserve">Which of the following statements concerning tax preferences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annual revenue loss from federal tax preferences is quantified in the Tax Expenditures Budget.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Tax preferences increase the fairness of the tax law.</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Tax preferences simplify the tax law.</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Tax preferences make the tax law more neutral across taxpayers.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56)</w:t>
        <w:tab/>
      </w:r>
      <w:r>
        <w:rPr>
          <w:rFonts w:ascii="Times New Roman"/>
          <w:b w:val="false"/>
          <w:i w:val="false"/>
          <w:color w:val="000000"/>
          <w:sz w:val="24"/>
        </w:rPr>
        <w:t xml:space="preserve">Which of the following statements about horizontal equity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Horizontal equity focuses on a rational and impartial measurement of the tax base.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Horizontal equity focuses on the measurement of taxpayers' ability to pay.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If persons with equal ability to pay a tax owe an equal amount of tax, the tax is horizontally equitable.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None of these choices are false.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57)</w:t>
        <w:tab/>
      </w:r>
      <w:r>
        <w:rPr>
          <w:rFonts w:ascii="Times New Roman"/>
          <w:b w:val="false"/>
          <w:i w:val="false"/>
          <w:color w:val="000000"/>
          <w:sz w:val="24"/>
        </w:rPr>
        <w:t>The federal income tax law allows individuals whose property is destroyed by a natural disaster such as a fire or hurricane to reduce their taxable income by the amount of their financial loss. This rule is intended to improve the: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Convenience of the tax</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Efficiency of the tax</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Horizontal equity of the tax</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Vertical equity of the tax</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58)</w:t>
        <w:tab/>
      </w:r>
      <w:r>
        <w:rPr>
          <w:rFonts w:ascii="Times New Roman"/>
          <w:b w:val="false"/>
          <w:i w:val="false"/>
          <w:color w:val="000000"/>
          <w:sz w:val="24"/>
        </w:rPr>
        <w:t>The sales tax laws of many states exempt the purchase of groceries and prescription drugs from tax. Such exemptions are intended to improve the: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Convenience of the tax</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Equity of the tax</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Sufficiency of the tax</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Neutrality of the tax</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59)</w:t>
        <w:tab/>
      </w:r>
      <w:r>
        <w:rPr>
          <w:rFonts w:ascii="Times New Roman"/>
          <w:b w:val="false"/>
          <w:i w:val="false"/>
          <w:color w:val="000000"/>
          <w:sz w:val="24"/>
        </w:rPr>
        <w:t xml:space="preserve">Which of the following statements about vertical equity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Vertical equity focuses on a fair rate structure instead of a fair measurement of the tax base.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If persons with greater ability to pay owe more tax than persons with lesser ability to pay, the tax is vertically equitable.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 tax with a single percentage rate is not vertically equitable.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None of these choices are false.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60)</w:t>
        <w:tab/>
      </w:r>
      <w:r>
        <w:rPr>
          <w:rFonts w:ascii="Times New Roman"/>
          <w:b w:val="false"/>
          <w:i w:val="false"/>
          <w:color w:val="000000"/>
          <w:sz w:val="24"/>
        </w:rPr>
        <w:t>Jurisdiction M imposes an individual income tax based on the following schedule.</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w:t>
      </w:r>
      <w:r>
        <w:rPr>
          <w:rFonts w:ascii="Times New Roman"/>
          <w:sz w:val="24"/>
        </w:rPr>
      </w:r>
    </w:p>
    <w:tbl>
      <w:tblPr>
        <w:tblLayout w:type="autofit"/>
      </w:tblPr>
      <w:tr>
        <w:trPr/>
        <w:tc>
          <w:tcPr>
            <w:tcW w:w="20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Rate</w:t>
            </w:r>
          </w:p>
        </w:tc>
        <w:tc>
          <w:tcPr>
            <w:tcW w:w="52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Income bracket</w:t>
            </w:r>
          </w:p>
        </w:tc>
      </w:tr>
      <w:tr>
        <w:trPr/>
        <w:tc>
          <w:tcPr>
            <w:tcW w:w="20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5%</w:t>
            </w:r>
          </w:p>
        </w:tc>
        <w:tc>
          <w:tcPr>
            <w:tcW w:w="5200" w:type="dxa"/>
            <w:tcBorders/>
            <w:tcMar>
              <w:top w:w="15" w:type="dxa"/>
              <w:left w:w="15" w:type="dxa"/>
              <w:bottom w:w="15" w:type="dxa"/>
              <w:right w:w="900" w:type="dxa"/>
            </w:tcMar>
            <w:vAlign w:val="top"/>
          </w:tcPr>
          <w:p>
            <w:pPr>
              <w:spacing w:after="0"/>
              <w:ind w:left="0"/>
              <w:jc w:val="right"/>
            </w:pPr>
            <w:r>
              <w:rPr>
                <w:rFonts w:ascii="Courier New" w:hAnsi="Courier New"/>
                <w:b w:val="false"/>
                <w:i w:val="false"/>
                <w:color w:val="000000"/>
                <w:sz w:val="22"/>
              </w:rPr>
              <w:t>$-0- to $50,000</w:t>
            </w:r>
          </w:p>
        </w:tc>
      </w:tr>
      <w:tr>
        <w:trPr/>
        <w:tc>
          <w:tcPr>
            <w:tcW w:w="20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+ 8%</w:t>
            </w:r>
          </w:p>
        </w:tc>
        <w:tc>
          <w:tcPr>
            <w:tcW w:w="5200" w:type="dxa"/>
            <w:tcBorders/>
            <w:tcMar>
              <w:top w:w="15" w:type="dxa"/>
              <w:left w:w="15" w:type="dxa"/>
              <w:bottom w:w="15" w:type="dxa"/>
              <w:right w:w="900" w:type="dxa"/>
            </w:tcMar>
            <w:vAlign w:val="top"/>
          </w:tcPr>
          <w:p>
            <w:pPr>
              <w:spacing w:after="0"/>
              <w:ind w:left="0"/>
              <w:jc w:val="right"/>
            </w:pPr>
            <w:r>
              <w:rPr>
                <w:rFonts w:ascii="Courier New" w:hAnsi="Courier New"/>
                <w:b w:val="false"/>
                <w:i w:val="false"/>
                <w:color w:val="000000"/>
                <w:sz w:val="22"/>
              </w:rPr>
              <w:t>$50,001 to $200,000</w:t>
            </w:r>
          </w:p>
        </w:tc>
      </w:tr>
      <w:tr>
        <w:trPr/>
        <w:tc>
          <w:tcPr>
            <w:tcW w:w="20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+ 12%</w:t>
            </w:r>
          </w:p>
        </w:tc>
        <w:tc>
          <w:tcPr>
            <w:tcW w:w="5200" w:type="dxa"/>
            <w:tcBorders/>
            <w:tcMar>
              <w:top w:w="15" w:type="dxa"/>
              <w:left w:w="15" w:type="dxa"/>
              <w:bottom w:w="15" w:type="dxa"/>
              <w:right w:w="900" w:type="dxa"/>
            </w:tcMar>
            <w:vAlign w:val="top"/>
          </w:tcPr>
          <w:p>
            <w:pPr>
              <w:spacing w:after="0"/>
              <w:ind w:left="0"/>
              <w:jc w:val="right"/>
            </w:pPr>
            <w:r>
              <w:rPr>
                <w:rFonts w:ascii="Courier New" w:hAnsi="Courier New"/>
                <w:b w:val="false"/>
                <w:i w:val="false"/>
                <w:color w:val="000000"/>
                <w:sz w:val="22"/>
              </w:rPr>
              <w:t>$200,001 and above</w:t>
            </w:r>
          </w:p>
        </w:tc>
      </w:tr>
      <w:tr>
        <w:trPr/>
        <w:tc>
          <w:tcPr>
            <w:tcW w:w="0" w:type="auto"/>
            <w:gridSpan w:val="2"/>
            <w:tcBorders/>
            <w:tcMar>
              <w:top w:w="15" w:type="dxa"/>
              <w:left w:w="15" w:type="dxa"/>
              <w:bottom w:w="15" w:type="dxa"/>
              <w:right w:w="15" w:type="dxa"/>
            </w:tcMar>
            <w:vAlign w:val="top"/>
          </w:tcP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 xml:space="preserve">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schedule provides no information as to whether Jurisdiction M's tax is horizontally equitable.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Jurisdiction M's tax is vertically equitable.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Jurisdiction M's tax is vertically equitable only for individuals with $50,000 or less taxable income.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Both "The schedule provides no information as to whether Jurisdiction M's tax is horizontally equitable" and "Jurisdiction M's tax is vertically equitable" are true.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61)</w:t>
        <w:tab/>
      </w:r>
      <w:r>
        <w:rPr>
          <w:rFonts w:ascii="Times New Roman"/>
          <w:b w:val="false"/>
          <w:i w:val="false"/>
          <w:color w:val="000000"/>
          <w:sz w:val="24"/>
        </w:rPr>
        <w:t xml:space="preserve">Which of the following statements about a regressive tax rate structure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 regressive rate structure cannot result in vertical equity.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Regressive rates decrease as the tax base increases.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 regressive rate structure places a proportionally heavier tax burden on taxpayers with smaller tax bases than persons with greater tax bases.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None of these choices are false.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62)</w:t>
        <w:tab/>
      </w:r>
      <w:r>
        <w:rPr>
          <w:rFonts w:ascii="Times New Roman"/>
          <w:b w:val="false"/>
          <w:i w:val="false"/>
          <w:color w:val="000000"/>
          <w:sz w:val="24"/>
        </w:rPr>
        <w:t>Vervet County levies a real property tax based on the following schedule.</w:t>
      </w:r>
      <w:r>
        <w:rPr>
          <w:rFonts w:ascii="Times New Roman"/>
          <w:sz w:val="24"/>
        </w:rPr>
        <w:br/>
      </w:r>
      <w:r>
        <w:rPr>
          <w:rFonts w:ascii="Times New Roman"/>
          <w:b w:val="false"/>
          <w:i w:val="false"/>
          <w:color w:val="000000"/>
          <w:sz w:val="24"/>
        </w:rPr>
        <w:t xml:space="preserve"> </w:t>
      </w:r>
      <w:r>
        <w:rPr>
          <w:rFonts w:ascii="Times New Roman"/>
          <w:sz w:val="24"/>
        </w:rPr>
      </w:r>
    </w:p>
    <w:tbl>
      <w:tblPr>
        <w:tblLayout w:type="autofit"/>
      </w:tblPr>
      <w:tr>
        <w:trPr>
          <w:trHeight w:val="60" w:hRule="atLeast"/>
        </w:trPr>
        <w:tc>
          <w:tcPr>
            <w:tcW w:w="1644" w:type="dxa"/>
            <w:tcBorders/>
            <w:tcMar>
              <w:top w:w="30" w:type="dxa"/>
              <w:left w:w="30" w:type="dxa"/>
              <w:bottom w:w="30" w:type="dxa"/>
              <w:right w:w="30" w:type="dxa"/>
            </w:tcMar>
            <w:vAlign w:val="top"/>
          </w:tcPr>
          <w:p>
            <w:pPr>
              <w:spacing w:after="0"/>
              <w:ind w:left="0"/>
              <w:jc w:val="center"/>
            </w:pPr>
            <w:r>
              <w:rPr>
                <w:rFonts w:ascii="Courier New" w:hAnsi="Courier New"/>
                <w:b w:val="false"/>
                <w:i w:val="false"/>
                <w:color w:val="000000"/>
                <w:sz w:val="22"/>
              </w:rPr>
              <w:t>Rate</w:t>
            </w:r>
          </w:p>
        </w:tc>
        <w:tc>
          <w:tcPr>
            <w:tcW w:w="4756" w:type="dxa"/>
            <w:tcBorders/>
            <w:tcMar>
              <w:top w:w="30" w:type="dxa"/>
              <w:left w:w="30" w:type="dxa"/>
              <w:bottom w:w="30" w:type="dxa"/>
              <w:right w:w="30" w:type="dxa"/>
            </w:tcMar>
            <w:vAlign w:val="top"/>
          </w:tcPr>
          <w:p>
            <w:pPr>
              <w:spacing w:after="0"/>
              <w:ind w:left="0"/>
              <w:jc w:val="center"/>
            </w:pPr>
            <w:r>
              <w:rPr>
                <w:rFonts w:ascii="Courier New" w:hAnsi="Courier New"/>
                <w:b w:val="false"/>
                <w:i w:val="false"/>
                <w:color w:val="000000"/>
                <w:sz w:val="22"/>
              </w:rPr>
              <w:t>Assessed value</w:t>
            </w:r>
          </w:p>
        </w:tc>
      </w:tr>
      <w:tr>
        <w:trPr>
          <w:trHeight w:val="60" w:hRule="atLeast"/>
        </w:trPr>
        <w:tc>
          <w:tcPr>
            <w:tcW w:w="1644" w:type="dxa"/>
            <w:tcBorders/>
            <w:tcMar>
              <w:top w:w="30" w:type="dxa"/>
              <w:left w:w="30" w:type="dxa"/>
              <w:bottom w:w="30" w:type="dxa"/>
              <w:right w:w="450" w:type="dxa"/>
            </w:tcMar>
            <w:vAlign w:val="top"/>
          </w:tcPr>
          <w:p>
            <w:pPr>
              <w:spacing w:after="0"/>
              <w:ind w:left="0"/>
              <w:jc w:val="right"/>
            </w:pPr>
            <w:r>
              <w:rPr>
                <w:rFonts w:ascii="Courier New" w:hAnsi="Courier New"/>
                <w:b w:val="false"/>
                <w:i w:val="false"/>
                <w:color w:val="000000"/>
                <w:sz w:val="22"/>
              </w:rPr>
              <w:t>3%</w:t>
            </w:r>
          </w:p>
        </w:tc>
        <w:tc>
          <w:tcPr>
            <w:tcW w:w="4756" w:type="dxa"/>
            <w:tcBorders/>
            <w:tcMar>
              <w:top w:w="30" w:type="dxa"/>
              <w:left w:w="30" w:type="dxa"/>
              <w:bottom w:w="30" w:type="dxa"/>
              <w:right w:w="750" w:type="dxa"/>
            </w:tcMar>
            <w:vAlign w:val="top"/>
          </w:tcPr>
          <w:p>
            <w:pPr>
              <w:spacing w:after="0"/>
              <w:ind w:left="0"/>
              <w:jc w:val="right"/>
            </w:pPr>
            <w:r>
              <w:rPr>
                <w:rFonts w:ascii="Courier New" w:hAnsi="Courier New"/>
                <w:b w:val="false"/>
                <w:i w:val="false"/>
                <w:color w:val="000000"/>
                <w:sz w:val="22"/>
              </w:rPr>
              <w:t>$-0- to $250,000</w:t>
            </w:r>
          </w:p>
        </w:tc>
      </w:tr>
      <w:tr>
        <w:trPr>
          <w:trHeight w:val="60" w:hRule="atLeast"/>
        </w:trPr>
        <w:tc>
          <w:tcPr>
            <w:tcW w:w="1644" w:type="dxa"/>
            <w:tcBorders/>
            <w:tcMar>
              <w:top w:w="30" w:type="dxa"/>
              <w:left w:w="30" w:type="dxa"/>
              <w:bottom w:w="30" w:type="dxa"/>
              <w:right w:w="450" w:type="dxa"/>
            </w:tcMar>
            <w:vAlign w:val="top"/>
          </w:tcPr>
          <w:p>
            <w:pPr>
              <w:spacing w:after="0"/>
              <w:ind w:left="0"/>
              <w:jc w:val="right"/>
            </w:pPr>
            <w:r>
              <w:rPr>
                <w:rFonts w:ascii="Courier New" w:hAnsi="Courier New"/>
                <w:b w:val="false"/>
                <w:i w:val="false"/>
                <w:color w:val="000000"/>
                <w:sz w:val="22"/>
              </w:rPr>
              <w:t>+ 1%</w:t>
            </w:r>
          </w:p>
        </w:tc>
        <w:tc>
          <w:tcPr>
            <w:tcW w:w="4756" w:type="dxa"/>
            <w:tcBorders/>
            <w:tcMar>
              <w:top w:w="30" w:type="dxa"/>
              <w:left w:w="30" w:type="dxa"/>
              <w:bottom w:w="30" w:type="dxa"/>
              <w:right w:w="750" w:type="dxa"/>
            </w:tcMar>
            <w:vAlign w:val="top"/>
          </w:tcPr>
          <w:p>
            <w:pPr>
              <w:spacing w:after="0"/>
              <w:ind w:left="0"/>
              <w:jc w:val="right"/>
            </w:pPr>
            <w:r>
              <w:rPr>
                <w:rFonts w:ascii="Courier New" w:hAnsi="Courier New"/>
                <w:b w:val="false"/>
                <w:i w:val="false"/>
                <w:color w:val="000000"/>
                <w:sz w:val="22"/>
              </w:rPr>
              <w:t>$250,001 and above</w:t>
            </w:r>
          </w:p>
        </w:tc>
      </w:tr>
      <w:tr>
        <w:trPr>
          <w:trHeight w:val="60" w:hRule="atLeast"/>
        </w:trPr>
        <w:tc>
          <w:tcPr>
            <w:tcW w:w="0" w:type="auto"/>
            <w:gridSpan w:val="2"/>
            <w:tcBorders/>
            <w:tcMar>
              <w:top w:w="30" w:type="dxa"/>
              <w:left w:w="30" w:type="dxa"/>
              <w:bottom w:w="30" w:type="dxa"/>
              <w:right w:w="30" w:type="dxa"/>
            </w:tcMar>
            <w:vAlign w:val="top"/>
          </w:tcP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Which type of rate structure does this tax use?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Proportionate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Regressive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Progressive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Dual-bracket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63)</w:t>
        <w:tab/>
      </w:r>
      <w:r>
        <w:rPr>
          <w:rFonts w:ascii="Times New Roman"/>
          <w:b w:val="false"/>
          <w:i w:val="false"/>
          <w:color w:val="000000"/>
          <w:sz w:val="24"/>
        </w:rPr>
        <w:t>Vervet County levies a real property tax based on the following schedule.</w:t>
      </w:r>
      <w:r>
        <w:rPr>
          <w:rFonts w:ascii="Times New Roman"/>
          <w:sz w:val="24"/>
        </w:rPr>
        <w:br/>
      </w:r>
      <w:r>
        <w:rPr>
          <w:rFonts w:ascii="Times New Roman"/>
          <w:b w:val="false"/>
          <w:i w:val="false"/>
          <w:color w:val="000000"/>
          <w:sz w:val="24"/>
        </w:rPr>
        <w:t xml:space="preserve"> </w:t>
      </w:r>
      <w:r>
        <w:rPr>
          <w:rFonts w:ascii="Times New Roman"/>
          <w:sz w:val="24"/>
        </w:rPr>
      </w:r>
    </w:p>
    <w:tbl>
      <w:tblPr>
        <w:tblLayout w:type="autofit"/>
      </w:tblPr>
      <w:tr>
        <w:trPr>
          <w:trHeight w:val="60" w:hRule="atLeast"/>
        </w:trPr>
        <w:tc>
          <w:tcPr>
            <w:tcW w:w="1646" w:type="dxa"/>
            <w:tcBorders/>
            <w:tcMar>
              <w:top w:w="30" w:type="dxa"/>
              <w:left w:w="30" w:type="dxa"/>
              <w:bottom w:w="30" w:type="dxa"/>
              <w:right w:w="30" w:type="dxa"/>
            </w:tcMar>
            <w:vAlign w:val="top"/>
          </w:tcPr>
          <w:p>
            <w:pPr>
              <w:spacing w:after="0"/>
              <w:ind w:left="0"/>
              <w:jc w:val="center"/>
            </w:pPr>
            <w:r>
              <w:rPr>
                <w:rFonts w:ascii="Courier New" w:hAnsi="Courier New"/>
                <w:b w:val="false"/>
                <w:i w:val="false"/>
                <w:color w:val="000000"/>
                <w:sz w:val="22"/>
              </w:rPr>
              <w:t>Rate</w:t>
            </w:r>
          </w:p>
        </w:tc>
        <w:tc>
          <w:tcPr>
            <w:tcW w:w="4954" w:type="dxa"/>
            <w:tcBorders/>
            <w:tcMar>
              <w:top w:w="30" w:type="dxa"/>
              <w:left w:w="30" w:type="dxa"/>
              <w:bottom w:w="30" w:type="dxa"/>
              <w:right w:w="30" w:type="dxa"/>
            </w:tcMar>
            <w:vAlign w:val="top"/>
          </w:tcPr>
          <w:p>
            <w:pPr>
              <w:spacing w:after="0"/>
              <w:ind w:left="0"/>
              <w:jc w:val="center"/>
            </w:pPr>
            <w:r>
              <w:rPr>
                <w:rFonts w:ascii="Courier New" w:hAnsi="Courier New"/>
                <w:b w:val="false"/>
                <w:i w:val="false"/>
                <w:color w:val="000000"/>
                <w:sz w:val="22"/>
              </w:rPr>
              <w:t>Assessed value</w:t>
            </w:r>
          </w:p>
        </w:tc>
      </w:tr>
      <w:tr>
        <w:trPr>
          <w:trHeight w:val="60" w:hRule="atLeast"/>
        </w:trPr>
        <w:tc>
          <w:tcPr>
            <w:tcW w:w="1646" w:type="dxa"/>
            <w:tcBorders/>
            <w:tcMar>
              <w:top w:w="30" w:type="dxa"/>
              <w:left w:w="30" w:type="dxa"/>
              <w:bottom w:w="30" w:type="dxa"/>
              <w:right w:w="450" w:type="dxa"/>
            </w:tcMar>
            <w:vAlign w:val="top"/>
          </w:tcPr>
          <w:p>
            <w:pPr>
              <w:spacing w:after="0"/>
              <w:ind w:left="0"/>
              <w:jc w:val="right"/>
            </w:pPr>
            <w:r>
              <w:rPr>
                <w:rFonts w:ascii="Courier New" w:hAnsi="Courier New"/>
                <w:b w:val="false"/>
                <w:i w:val="false"/>
                <w:color w:val="000000"/>
                <w:sz w:val="22"/>
              </w:rPr>
              <w:t>3%</w:t>
            </w:r>
          </w:p>
        </w:tc>
        <w:tc>
          <w:tcPr>
            <w:tcW w:w="4954" w:type="dxa"/>
            <w:tcBorders/>
            <w:tcMar>
              <w:top w:w="30" w:type="dxa"/>
              <w:left w:w="30" w:type="dxa"/>
              <w:bottom w:w="30" w:type="dxa"/>
              <w:right w:w="750" w:type="dxa"/>
            </w:tcMar>
            <w:vAlign w:val="top"/>
          </w:tcPr>
          <w:p>
            <w:pPr>
              <w:spacing w:after="0"/>
              <w:ind w:left="0"/>
              <w:jc w:val="right"/>
            </w:pPr>
            <w:r>
              <w:rPr>
                <w:rFonts w:ascii="Courier New" w:hAnsi="Courier New"/>
                <w:b w:val="false"/>
                <w:i w:val="false"/>
                <w:color w:val="000000"/>
                <w:sz w:val="22"/>
              </w:rPr>
              <w:t>$-0- to $250,000</w:t>
            </w:r>
          </w:p>
        </w:tc>
      </w:tr>
      <w:tr>
        <w:trPr>
          <w:trHeight w:val="60" w:hRule="atLeast"/>
        </w:trPr>
        <w:tc>
          <w:tcPr>
            <w:tcW w:w="1646" w:type="dxa"/>
            <w:tcBorders/>
            <w:tcMar>
              <w:top w:w="30" w:type="dxa"/>
              <w:left w:w="30" w:type="dxa"/>
              <w:bottom w:w="30" w:type="dxa"/>
              <w:right w:w="450" w:type="dxa"/>
            </w:tcMar>
            <w:vAlign w:val="top"/>
          </w:tcPr>
          <w:p>
            <w:pPr>
              <w:spacing w:after="0"/>
              <w:ind w:left="0"/>
              <w:jc w:val="right"/>
            </w:pPr>
            <w:r>
              <w:rPr>
                <w:rFonts w:ascii="Courier New" w:hAnsi="Courier New"/>
                <w:b w:val="false"/>
                <w:i w:val="false"/>
                <w:color w:val="000000"/>
                <w:sz w:val="22"/>
              </w:rPr>
              <w:t>+ 1%</w:t>
            </w:r>
          </w:p>
        </w:tc>
        <w:tc>
          <w:tcPr>
            <w:tcW w:w="4954" w:type="dxa"/>
            <w:tcBorders/>
            <w:tcMar>
              <w:top w:w="30" w:type="dxa"/>
              <w:left w:w="30" w:type="dxa"/>
              <w:bottom w:w="30" w:type="dxa"/>
              <w:right w:w="750" w:type="dxa"/>
            </w:tcMar>
            <w:vAlign w:val="top"/>
          </w:tcPr>
          <w:p>
            <w:pPr>
              <w:spacing w:after="0"/>
              <w:ind w:left="0"/>
              <w:jc w:val="right"/>
            </w:pPr>
            <w:r>
              <w:rPr>
                <w:rFonts w:ascii="Courier New" w:hAnsi="Courier New"/>
                <w:b w:val="false"/>
                <w:i w:val="false"/>
                <w:color w:val="000000"/>
                <w:sz w:val="22"/>
              </w:rPr>
              <w:t>$250,001 and above</w:t>
            </w:r>
          </w:p>
        </w:tc>
      </w:tr>
      <w:tr>
        <w:trPr>
          <w:trHeight w:val="60" w:hRule="atLeast"/>
        </w:trPr>
        <w:tc>
          <w:tcPr>
            <w:tcW w:w="0" w:type="auto"/>
            <w:gridSpan w:val="2"/>
            <w:tcBorders/>
            <w:tcMar>
              <w:top w:w="30" w:type="dxa"/>
              <w:left w:w="30" w:type="dxa"/>
              <w:bottom w:w="30" w:type="dxa"/>
              <w:right w:w="30" w:type="dxa"/>
            </w:tcMar>
            <w:vAlign w:val="top"/>
          </w:tcP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Bilex Inc. owns real property valued at $629,800. Compute Bilex's tax on this property.</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$13,798</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$7,500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$6,298</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64)</w:t>
        <w:tab/>
      </w:r>
      <w:r>
        <w:rPr>
          <w:rFonts w:ascii="Times New Roman"/>
          <w:b w:val="false"/>
          <w:i w:val="false"/>
          <w:color w:val="000000"/>
          <w:sz w:val="24"/>
        </w:rPr>
        <w:t>Vervet County levies a real property tax based on the following schedule.</w:t>
      </w:r>
      <w:r>
        <w:rPr>
          <w:rFonts w:ascii="Times New Roman"/>
          <w:sz w:val="24"/>
        </w:rPr>
        <w:br/>
      </w:r>
      <w:r>
        <w:rPr>
          <w:rFonts w:ascii="Times New Roman"/>
          <w:b w:val="false"/>
          <w:i w:val="false"/>
          <w:color w:val="000000"/>
          <w:sz w:val="24"/>
        </w:rPr>
        <w:t xml:space="preserve"> </w:t>
      </w:r>
      <w:r>
        <w:rPr>
          <w:rFonts w:ascii="Times New Roman"/>
          <w:sz w:val="24"/>
        </w:rPr>
      </w:r>
    </w:p>
    <w:tbl>
      <w:tblPr>
        <w:tblLayout w:type="autofit"/>
      </w:tblPr>
      <w:tr>
        <w:trPr/>
        <w:tc>
          <w:tcPr>
            <w:tcW w:w="16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Rate</w:t>
            </w:r>
          </w:p>
        </w:tc>
        <w:tc>
          <w:tcPr>
            <w:tcW w:w="50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Assessed value</w:t>
            </w:r>
          </w:p>
        </w:tc>
      </w:tr>
      <w:tr>
        <w:trPr/>
        <w:tc>
          <w:tcPr>
            <w:tcW w:w="1600"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3%</w:t>
            </w:r>
          </w:p>
        </w:tc>
        <w:tc>
          <w:tcPr>
            <w:tcW w:w="5000" w:type="dxa"/>
            <w:tcBorders/>
            <w:tcMar>
              <w:top w:w="15" w:type="dxa"/>
              <w:left w:w="15" w:type="dxa"/>
              <w:bottom w:w="15" w:type="dxa"/>
              <w:right w:w="750" w:type="dxa"/>
            </w:tcMar>
            <w:vAlign w:val="top"/>
          </w:tcPr>
          <w:p>
            <w:pPr>
              <w:spacing w:after="0"/>
              <w:ind w:left="0"/>
              <w:jc w:val="right"/>
            </w:pPr>
            <w:r>
              <w:rPr>
                <w:rFonts w:ascii="Courier New" w:hAnsi="Courier New"/>
                <w:b w:val="false"/>
                <w:i w:val="false"/>
                <w:color w:val="000000"/>
                <w:sz w:val="22"/>
              </w:rPr>
              <w:t>$-0- to $250,000</w:t>
            </w:r>
          </w:p>
        </w:tc>
      </w:tr>
      <w:tr>
        <w:trPr/>
        <w:tc>
          <w:tcPr>
            <w:tcW w:w="1600" w:type="dxa"/>
            <w:tcBorders/>
            <w:tcMar>
              <w:top w:w="15" w:type="dxa"/>
              <w:left w:w="15" w:type="dxa"/>
              <w:bottom w:w="15" w:type="dxa"/>
              <w:right w:w="450" w:type="dxa"/>
            </w:tcMar>
            <w:vAlign w:val="top"/>
          </w:tcPr>
          <w:p>
            <w:pPr>
              <w:spacing w:after="0"/>
              <w:ind w:left="0"/>
              <w:jc w:val="right"/>
            </w:pPr>
            <w:r>
              <w:rPr>
                <w:rFonts w:ascii="Courier New" w:hAnsi="Courier New"/>
                <w:b w:val="false"/>
                <w:i w:val="false"/>
                <w:color w:val="000000"/>
                <w:sz w:val="22"/>
              </w:rPr>
              <w:t>+ 1%</w:t>
            </w:r>
          </w:p>
        </w:tc>
        <w:tc>
          <w:tcPr>
            <w:tcW w:w="5000" w:type="dxa"/>
            <w:tcBorders/>
            <w:tcMar>
              <w:top w:w="15" w:type="dxa"/>
              <w:left w:w="15" w:type="dxa"/>
              <w:bottom w:w="15" w:type="dxa"/>
              <w:right w:w="750" w:type="dxa"/>
            </w:tcMar>
            <w:vAlign w:val="top"/>
          </w:tcPr>
          <w:p>
            <w:pPr>
              <w:spacing w:after="0"/>
              <w:ind w:left="0"/>
              <w:jc w:val="right"/>
            </w:pPr>
            <w:r>
              <w:rPr>
                <w:rFonts w:ascii="Courier New" w:hAnsi="Courier New"/>
                <w:b w:val="false"/>
                <w:i w:val="false"/>
                <w:color w:val="000000"/>
                <w:sz w:val="22"/>
              </w:rPr>
              <w:t>$250,001 and above</w:t>
            </w:r>
          </w:p>
        </w:tc>
      </w:tr>
      <w:tr>
        <w:trPr/>
        <w:tc>
          <w:tcPr>
            <w:tcW w:w="0" w:type="auto"/>
            <w:gridSpan w:val="2"/>
            <w:tcBorders/>
            <w:tcMar>
              <w:top w:w="15" w:type="dxa"/>
              <w:left w:w="15" w:type="dxa"/>
              <w:bottom w:w="15" w:type="dxa"/>
              <w:right w:w="15" w:type="dxa"/>
            </w:tcMar>
            <w:vAlign w:val="top"/>
          </w:tcP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 xml:space="preserve">Which of the following statements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If Mr. Clem owns real property valued at $112,500, his average tax rate is 3%.</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If Ms. Barker owns real property valued at $455,650, her average tax rate is 2.1%.</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If Ms. Lumley owns real property valued at $750,000, her marginal tax rate is 1%.</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None of the choices are false.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65)</w:t>
        <w:tab/>
      </w:r>
      <w:r>
        <w:rPr>
          <w:rFonts w:ascii="Times New Roman"/>
          <w:b w:val="false"/>
          <w:i w:val="false"/>
          <w:color w:val="000000"/>
          <w:sz w:val="24"/>
        </w:rPr>
        <w:t xml:space="preserve">Which of the following statements about tax rate structures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Regressive rate structures are illegal in the United States.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 tax with a graduated rate structure must be either regressive or progressive.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 proportionate rate structure is the only structure resulting in vertical equity.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None of the choices are true.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66)</w:t>
        <w:tab/>
      </w:r>
      <w:r>
        <w:rPr>
          <w:rFonts w:ascii="Times New Roman"/>
          <w:b w:val="false"/>
          <w:i w:val="false"/>
          <w:color w:val="000000"/>
          <w:sz w:val="24"/>
        </w:rPr>
        <w:t>Jurisdiction M imposes an individual income tax based on the following schedule.</w:t>
      </w:r>
      <w:r>
        <w:rPr>
          <w:rFonts w:ascii="Times New Roman"/>
          <w:sz w:val="24"/>
        </w:rPr>
        <w:br/>
      </w:r>
      <w:r>
        <w:rPr>
          <w:rFonts w:ascii="Times New Roman"/>
          <w:b w:val="false"/>
          <w:i w:val="false"/>
          <w:color w:val="000000"/>
          <w:sz w:val="24"/>
        </w:rPr>
        <w:t xml:space="preserve"> </w:t>
      </w:r>
      <w:r>
        <w:rPr>
          <w:rFonts w:ascii="Times New Roman"/>
          <w:sz w:val="24"/>
        </w:rPr>
      </w:r>
    </w:p>
    <w:tbl>
      <w:tblPr>
        <w:tblLayout w:type="autofit"/>
      </w:tblPr>
      <w:tr>
        <w:trPr/>
        <w:tc>
          <w:tcPr>
            <w:tcW w:w="20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Rate</w:t>
            </w:r>
          </w:p>
        </w:tc>
        <w:tc>
          <w:tcPr>
            <w:tcW w:w="50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Income bracket</w:t>
            </w:r>
          </w:p>
        </w:tc>
      </w:tr>
      <w:tr>
        <w:trPr/>
        <w:tc>
          <w:tcPr>
            <w:tcW w:w="20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5%</w:t>
            </w:r>
          </w:p>
        </w:tc>
        <w:tc>
          <w:tcPr>
            <w:tcW w:w="5000" w:type="dxa"/>
            <w:tcBorders/>
            <w:tcMar>
              <w:top w:w="15" w:type="dxa"/>
              <w:left w:w="15" w:type="dxa"/>
              <w:bottom w:w="15" w:type="dxa"/>
              <w:right w:w="750" w:type="dxa"/>
            </w:tcMar>
            <w:vAlign w:val="top"/>
          </w:tcPr>
          <w:p>
            <w:pPr>
              <w:spacing w:after="0"/>
              <w:ind w:left="0"/>
              <w:jc w:val="right"/>
            </w:pPr>
            <w:r>
              <w:rPr>
                <w:rFonts w:ascii="Courier New" w:hAnsi="Courier New"/>
                <w:b w:val="false"/>
                <w:i w:val="false"/>
                <w:color w:val="000000"/>
                <w:sz w:val="22"/>
              </w:rPr>
              <w:t>$-0- to $50,000</w:t>
            </w:r>
          </w:p>
        </w:tc>
      </w:tr>
      <w:tr>
        <w:trPr/>
        <w:tc>
          <w:tcPr>
            <w:tcW w:w="20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+ 8%</w:t>
            </w:r>
          </w:p>
        </w:tc>
        <w:tc>
          <w:tcPr>
            <w:tcW w:w="5000" w:type="dxa"/>
            <w:tcBorders/>
            <w:tcMar>
              <w:top w:w="15" w:type="dxa"/>
              <w:left w:w="15" w:type="dxa"/>
              <w:bottom w:w="15" w:type="dxa"/>
              <w:right w:w="750" w:type="dxa"/>
            </w:tcMar>
            <w:vAlign w:val="top"/>
          </w:tcPr>
          <w:p>
            <w:pPr>
              <w:spacing w:after="0"/>
              <w:ind w:left="0"/>
              <w:jc w:val="right"/>
            </w:pPr>
            <w:r>
              <w:rPr>
                <w:rFonts w:ascii="Courier New" w:hAnsi="Courier New"/>
                <w:b w:val="false"/>
                <w:i w:val="false"/>
                <w:color w:val="000000"/>
                <w:sz w:val="22"/>
              </w:rPr>
              <w:t>$50,001 to $200,000</w:t>
            </w:r>
          </w:p>
        </w:tc>
      </w:tr>
      <w:tr>
        <w:trPr/>
        <w:tc>
          <w:tcPr>
            <w:tcW w:w="20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+ 12%</w:t>
            </w:r>
          </w:p>
        </w:tc>
        <w:tc>
          <w:tcPr>
            <w:tcW w:w="5000" w:type="dxa"/>
            <w:tcBorders/>
            <w:tcMar>
              <w:top w:w="15" w:type="dxa"/>
              <w:left w:w="15" w:type="dxa"/>
              <w:bottom w:w="15" w:type="dxa"/>
              <w:right w:w="750" w:type="dxa"/>
            </w:tcMar>
            <w:vAlign w:val="top"/>
          </w:tcPr>
          <w:p>
            <w:pPr>
              <w:spacing w:after="0"/>
              <w:ind w:left="0"/>
              <w:jc w:val="right"/>
            </w:pPr>
            <w:r>
              <w:rPr>
                <w:rFonts w:ascii="Courier New" w:hAnsi="Courier New"/>
                <w:b w:val="false"/>
                <w:i w:val="false"/>
                <w:color w:val="000000"/>
                <w:sz w:val="22"/>
              </w:rPr>
              <w:t>$200,001 and above</w:t>
            </w:r>
          </w:p>
        </w:tc>
      </w:tr>
      <w:tr>
        <w:trPr/>
        <w:tc>
          <w:tcPr>
            <w:tcW w:w="0" w:type="auto"/>
            <w:gridSpan w:val="2"/>
            <w:tcBorders/>
            <w:tcMar>
              <w:top w:w="15" w:type="dxa"/>
              <w:left w:w="15" w:type="dxa"/>
              <w:bottom w:w="15" w:type="dxa"/>
              <w:right w:w="15" w:type="dxa"/>
            </w:tcMar>
            <w:vAlign w:val="top"/>
          </w:tcP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Which type of rate structure does this tax use?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Proportionate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Regressive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Progressive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Multi-bracket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67)</w:t>
        <w:tab/>
      </w:r>
      <w:r>
        <w:rPr>
          <w:rFonts w:ascii="Times New Roman"/>
          <w:b w:val="false"/>
          <w:i w:val="false"/>
          <w:color w:val="000000"/>
          <w:sz w:val="24"/>
        </w:rPr>
        <w:t xml:space="preserve">Which of the following statements about a progressive tax rate structure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Progressive rates increase as the tax base increases.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Progressive rates reflect the theory of the declining marginal utility of income.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federal income tax has always used a progressive rate structure.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Progressive rates result in greater vertical equity than a proportionate rate.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68)</w:t>
        <w:tab/>
      </w:r>
      <w:r>
        <w:rPr>
          <w:rFonts w:ascii="Times New Roman"/>
          <w:b w:val="false"/>
          <w:i w:val="false"/>
          <w:color w:val="000000"/>
          <w:sz w:val="24"/>
        </w:rPr>
        <w:t xml:space="preserve">Which of the following statements about a proportionate income tax rate structure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 theoretic justification for a proportionate rate is its superior potential for wealth redistribution.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Under a proportionate rate structure, the marginal rate equals the average rate.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Under a proportionate rate structure, the taxpayer with the least income pays the same percentage of income to the government as the taxpayer with the most income.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None of the choices are false.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69)</w:t>
        <w:tab/>
      </w:r>
      <w:r>
        <w:rPr>
          <w:rFonts w:ascii="Times New Roman"/>
          <w:b w:val="false"/>
          <w:i w:val="false"/>
          <w:color w:val="000000"/>
          <w:sz w:val="24"/>
        </w:rPr>
        <w:t xml:space="preserve">Which of the following statements concerning income tax rate structures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Under a progressive rate structure, the marginal rate and the average rate are equal.</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Under a regressive rate structure, the average rate for low-income individuals is more than the average rate for high-income individuals.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Under either a regressive, proportionate, or progressive rate structure, high-income taxpayers pay more dollars of tax than low-income individuals.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In theory, a progressive rate structure results in equal economic sacrifice across taxpayers.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70)</w:t>
        <w:tab/>
      </w:r>
      <w:r>
        <w:rPr>
          <w:rFonts w:ascii="Times New Roman"/>
          <w:b w:val="false"/>
          <w:i w:val="false"/>
          <w:color w:val="000000"/>
          <w:sz w:val="24"/>
        </w:rPr>
        <w:t xml:space="preserve">Which of the following statements concerning a regressive tax rate structure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 regressive tax rate structure is justified by the tax policy of distributive justice.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 regressive rate structure is justified by the theory of the declining marginal utility of income.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Under a regressive rate structure, the average tax rate for high-income taxpayers is less than the marginal tax rate.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None of the statements are true.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71)</w:t>
        <w:tab/>
      </w:r>
      <w:r>
        <w:rPr>
          <w:rFonts w:ascii="Times New Roman"/>
          <w:b w:val="false"/>
          <w:i w:val="false"/>
          <w:color w:val="000000"/>
          <w:sz w:val="24"/>
        </w:rPr>
        <w:t>Jurisdiction M imposes an individual income tax based on the following schedule.</w:t>
      </w:r>
      <w:r>
        <w:rPr>
          <w:rFonts w:ascii="Times New Roman"/>
          <w:sz w:val="24"/>
        </w:rPr>
        <w:br/>
      </w:r>
      <w:r>
        <w:rPr>
          <w:rFonts w:ascii="Times New Roman"/>
          <w:b w:val="false"/>
          <w:i w:val="false"/>
          <w:color w:val="000000"/>
          <w:sz w:val="24"/>
        </w:rPr>
        <w:t xml:space="preserve"> </w:t>
      </w:r>
      <w:r>
        <w:rPr>
          <w:rFonts w:ascii="Times New Roman"/>
          <w:sz w:val="24"/>
        </w:rPr>
      </w:r>
    </w:p>
    <w:tbl>
      <w:tblPr>
        <w:tblLayout w:type="autofit"/>
      </w:tblPr>
      <w:tr>
        <w:trPr/>
        <w:tc>
          <w:tcPr>
            <w:tcW w:w="20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Rate</w:t>
            </w:r>
          </w:p>
        </w:tc>
        <w:tc>
          <w:tcPr>
            <w:tcW w:w="50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Income bracket</w:t>
            </w:r>
          </w:p>
        </w:tc>
      </w:tr>
      <w:tr>
        <w:trPr/>
        <w:tc>
          <w:tcPr>
            <w:tcW w:w="20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5%</w:t>
            </w:r>
          </w:p>
        </w:tc>
        <w:tc>
          <w:tcPr>
            <w:tcW w:w="5000" w:type="dxa"/>
            <w:tcBorders/>
            <w:tcMar>
              <w:top w:w="15" w:type="dxa"/>
              <w:left w:w="15" w:type="dxa"/>
              <w:bottom w:w="15" w:type="dxa"/>
              <w:right w:w="750" w:type="dxa"/>
            </w:tcMar>
            <w:vAlign w:val="top"/>
          </w:tcPr>
          <w:p>
            <w:pPr>
              <w:spacing w:after="0"/>
              <w:ind w:left="0"/>
              <w:jc w:val="right"/>
            </w:pPr>
            <w:r>
              <w:rPr>
                <w:rFonts w:ascii="Courier New" w:hAnsi="Courier New"/>
                <w:b w:val="false"/>
                <w:i w:val="false"/>
                <w:color w:val="000000"/>
                <w:sz w:val="22"/>
              </w:rPr>
              <w:t>$-0- to $50,000</w:t>
            </w:r>
          </w:p>
        </w:tc>
      </w:tr>
      <w:tr>
        <w:trPr/>
        <w:tc>
          <w:tcPr>
            <w:tcW w:w="20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+ 8%</w:t>
            </w:r>
          </w:p>
        </w:tc>
        <w:tc>
          <w:tcPr>
            <w:tcW w:w="5000" w:type="dxa"/>
            <w:tcBorders/>
            <w:tcMar>
              <w:top w:w="15" w:type="dxa"/>
              <w:left w:w="15" w:type="dxa"/>
              <w:bottom w:w="15" w:type="dxa"/>
              <w:right w:w="750" w:type="dxa"/>
            </w:tcMar>
            <w:vAlign w:val="top"/>
          </w:tcPr>
          <w:p>
            <w:pPr>
              <w:spacing w:after="0"/>
              <w:ind w:left="0"/>
              <w:jc w:val="right"/>
            </w:pPr>
            <w:r>
              <w:rPr>
                <w:rFonts w:ascii="Courier New" w:hAnsi="Courier New"/>
                <w:b w:val="false"/>
                <w:i w:val="false"/>
                <w:color w:val="000000"/>
                <w:sz w:val="22"/>
              </w:rPr>
              <w:t>$50,001 to $200,000</w:t>
            </w:r>
          </w:p>
        </w:tc>
      </w:tr>
      <w:tr>
        <w:trPr/>
        <w:tc>
          <w:tcPr>
            <w:tcW w:w="20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+ 12%</w:t>
            </w:r>
          </w:p>
        </w:tc>
        <w:tc>
          <w:tcPr>
            <w:tcW w:w="5000" w:type="dxa"/>
            <w:tcBorders/>
            <w:tcMar>
              <w:top w:w="15" w:type="dxa"/>
              <w:left w:w="15" w:type="dxa"/>
              <w:bottom w:w="15" w:type="dxa"/>
              <w:right w:w="750" w:type="dxa"/>
            </w:tcMar>
            <w:vAlign w:val="top"/>
          </w:tcPr>
          <w:p>
            <w:pPr>
              <w:spacing w:after="0"/>
              <w:ind w:left="0"/>
              <w:jc w:val="right"/>
            </w:pPr>
            <w:r>
              <w:rPr>
                <w:rFonts w:ascii="Courier New" w:hAnsi="Courier New"/>
                <w:b w:val="false"/>
                <w:i w:val="false"/>
                <w:color w:val="000000"/>
                <w:sz w:val="22"/>
              </w:rPr>
              <w:t>$200,001 and above</w:t>
            </w:r>
          </w:p>
        </w:tc>
      </w:tr>
      <w:tr>
        <w:trPr/>
        <w:tc>
          <w:tcPr>
            <w:tcW w:w="0" w:type="auto"/>
            <w:gridSpan w:val="2"/>
            <w:tcBorders/>
            <w:tcMar>
              <w:top w:w="15" w:type="dxa"/>
              <w:left w:w="15" w:type="dxa"/>
              <w:bottom w:w="15" w:type="dxa"/>
              <w:right w:w="15" w:type="dxa"/>
            </w:tcMar>
            <w:vAlign w:val="top"/>
          </w:tcP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Mr. Coen has $78,000 taxable income. Compute the tax on this income.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$4,740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$6,240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$8,740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72)</w:t>
        <w:tab/>
      </w:r>
      <w:r>
        <w:rPr>
          <w:rFonts w:ascii="Times New Roman"/>
          <w:b w:val="false"/>
          <w:i w:val="false"/>
          <w:color w:val="000000"/>
          <w:sz w:val="24"/>
        </w:rPr>
        <w:t>Jurisdiction M imposes an individual income tax based on the following schedule.</w:t>
      </w:r>
      <w:r>
        <w:rPr>
          <w:rFonts w:ascii="Times New Roman"/>
          <w:sz w:val="24"/>
        </w:rPr>
        <w:br/>
      </w:r>
      <w:r>
        <w:rPr>
          <w:rFonts w:ascii="Times New Roman"/>
          <w:b w:val="false"/>
          <w:i w:val="false"/>
          <w:color w:val="000000"/>
          <w:sz w:val="24"/>
        </w:rPr>
        <w:t xml:space="preserve"> </w:t>
      </w:r>
      <w:r>
        <w:rPr>
          <w:rFonts w:ascii="Times New Roman"/>
          <w:sz w:val="24"/>
        </w:rPr>
      </w:r>
    </w:p>
    <w:tbl>
      <w:tblPr>
        <w:tblLayout w:type="autofit"/>
      </w:tblPr>
      <w:tr>
        <w:trPr/>
        <w:tc>
          <w:tcPr>
            <w:tcW w:w="20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Rate</w:t>
            </w:r>
          </w:p>
        </w:tc>
        <w:tc>
          <w:tcPr>
            <w:tcW w:w="50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Income bracket</w:t>
            </w:r>
          </w:p>
        </w:tc>
      </w:tr>
      <w:tr>
        <w:trPr/>
        <w:tc>
          <w:tcPr>
            <w:tcW w:w="20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5%</w:t>
            </w:r>
          </w:p>
        </w:tc>
        <w:tc>
          <w:tcPr>
            <w:tcW w:w="5000" w:type="dxa"/>
            <w:tcBorders/>
            <w:tcMar>
              <w:top w:w="15" w:type="dxa"/>
              <w:left w:w="15" w:type="dxa"/>
              <w:bottom w:w="15" w:type="dxa"/>
              <w:right w:w="750" w:type="dxa"/>
            </w:tcMar>
            <w:vAlign w:val="top"/>
          </w:tcPr>
          <w:p>
            <w:pPr>
              <w:spacing w:after="0"/>
              <w:ind w:left="0"/>
              <w:jc w:val="right"/>
            </w:pPr>
            <w:r>
              <w:rPr>
                <w:rFonts w:ascii="Courier New" w:hAnsi="Courier New"/>
                <w:b w:val="false"/>
                <w:i w:val="false"/>
                <w:color w:val="000000"/>
                <w:sz w:val="22"/>
              </w:rPr>
              <w:t>$-0- to $50,000</w:t>
            </w:r>
          </w:p>
        </w:tc>
      </w:tr>
      <w:tr>
        <w:trPr/>
        <w:tc>
          <w:tcPr>
            <w:tcW w:w="20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+ 8%</w:t>
            </w:r>
          </w:p>
        </w:tc>
        <w:tc>
          <w:tcPr>
            <w:tcW w:w="5000" w:type="dxa"/>
            <w:tcBorders/>
            <w:tcMar>
              <w:top w:w="15" w:type="dxa"/>
              <w:left w:w="15" w:type="dxa"/>
              <w:bottom w:w="15" w:type="dxa"/>
              <w:right w:w="750" w:type="dxa"/>
            </w:tcMar>
            <w:vAlign w:val="top"/>
          </w:tcPr>
          <w:p>
            <w:pPr>
              <w:spacing w:after="0"/>
              <w:ind w:left="0"/>
              <w:jc w:val="right"/>
            </w:pPr>
            <w:r>
              <w:rPr>
                <w:rFonts w:ascii="Courier New" w:hAnsi="Courier New"/>
                <w:b w:val="false"/>
                <w:i w:val="false"/>
                <w:color w:val="000000"/>
                <w:sz w:val="22"/>
              </w:rPr>
              <w:t>$50,001 to $200,000</w:t>
            </w:r>
          </w:p>
        </w:tc>
      </w:tr>
      <w:tr>
        <w:trPr/>
        <w:tc>
          <w:tcPr>
            <w:tcW w:w="20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+ 12%</w:t>
            </w:r>
          </w:p>
        </w:tc>
        <w:tc>
          <w:tcPr>
            <w:tcW w:w="5000" w:type="dxa"/>
            <w:tcBorders/>
            <w:tcMar>
              <w:top w:w="15" w:type="dxa"/>
              <w:left w:w="15" w:type="dxa"/>
              <w:bottom w:w="15" w:type="dxa"/>
              <w:right w:w="750" w:type="dxa"/>
            </w:tcMar>
            <w:vAlign w:val="top"/>
          </w:tcPr>
          <w:p>
            <w:pPr>
              <w:spacing w:after="0"/>
              <w:ind w:left="0"/>
              <w:jc w:val="right"/>
            </w:pPr>
            <w:r>
              <w:rPr>
                <w:rFonts w:ascii="Courier New" w:hAnsi="Courier New"/>
                <w:b w:val="false"/>
                <w:i w:val="false"/>
                <w:color w:val="000000"/>
                <w:sz w:val="22"/>
              </w:rPr>
              <w:t>$200,001 and above</w:t>
            </w:r>
          </w:p>
        </w:tc>
      </w:tr>
      <w:tr>
        <w:trPr/>
        <w:tc>
          <w:tcPr>
            <w:tcW w:w="0" w:type="auto"/>
            <w:gridSpan w:val="2"/>
            <w:tcBorders/>
            <w:tcMar>
              <w:top w:w="15" w:type="dxa"/>
              <w:left w:w="15" w:type="dxa"/>
              <w:bottom w:w="15" w:type="dxa"/>
              <w:right w:w="15" w:type="dxa"/>
            </w:tcMar>
            <w:vAlign w:val="top"/>
          </w:tcP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Ms. Owen has $314,000 taxable income. Compute the tax on this income.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$29,680</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$28,180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$37,680</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73)</w:t>
        <w:tab/>
      </w:r>
      <w:r>
        <w:rPr>
          <w:rFonts w:ascii="Times New Roman"/>
          <w:b w:val="false"/>
          <w:i w:val="false"/>
          <w:color w:val="000000"/>
          <w:sz w:val="24"/>
        </w:rPr>
        <w:t>Jurisdiction M imposes an individual income tax based on the following schedule.</w:t>
      </w:r>
      <w:r>
        <w:rPr>
          <w:rFonts w:ascii="Times New Roman"/>
          <w:sz w:val="24"/>
        </w:rPr>
        <w:br/>
      </w:r>
      <w:r>
        <w:rPr>
          <w:rFonts w:ascii="Times New Roman"/>
          <w:b w:val="false"/>
          <w:i w:val="false"/>
          <w:color w:val="000000"/>
          <w:sz w:val="24"/>
        </w:rPr>
        <w:t xml:space="preserve"> </w:t>
      </w:r>
      <w:r>
        <w:rPr>
          <w:rFonts w:ascii="Times New Roman"/>
          <w:sz w:val="24"/>
        </w:rPr>
      </w:r>
    </w:p>
    <w:tbl>
      <w:tblPr>
        <w:tblLayout w:type="autofit"/>
      </w:tblPr>
      <w:tr>
        <w:trPr/>
        <w:tc>
          <w:tcPr>
            <w:tcW w:w="20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Rate</w:t>
            </w:r>
          </w:p>
        </w:tc>
        <w:tc>
          <w:tcPr>
            <w:tcW w:w="50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Income bracket</w:t>
            </w:r>
          </w:p>
        </w:tc>
      </w:tr>
      <w:tr>
        <w:trPr/>
        <w:tc>
          <w:tcPr>
            <w:tcW w:w="20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5%</w:t>
            </w:r>
          </w:p>
        </w:tc>
        <w:tc>
          <w:tcPr>
            <w:tcW w:w="5000" w:type="dxa"/>
            <w:tcBorders/>
            <w:tcMar>
              <w:top w:w="15" w:type="dxa"/>
              <w:left w:w="15" w:type="dxa"/>
              <w:bottom w:w="15" w:type="dxa"/>
              <w:right w:w="750" w:type="dxa"/>
            </w:tcMar>
            <w:vAlign w:val="top"/>
          </w:tcPr>
          <w:p>
            <w:pPr>
              <w:spacing w:after="0"/>
              <w:ind w:left="0"/>
              <w:jc w:val="right"/>
            </w:pPr>
            <w:r>
              <w:rPr>
                <w:rFonts w:ascii="Courier New" w:hAnsi="Courier New"/>
                <w:b w:val="false"/>
                <w:i w:val="false"/>
                <w:color w:val="000000"/>
                <w:sz w:val="22"/>
              </w:rPr>
              <w:t>$-0- to $50,000</w:t>
            </w:r>
          </w:p>
        </w:tc>
      </w:tr>
      <w:tr>
        <w:trPr/>
        <w:tc>
          <w:tcPr>
            <w:tcW w:w="20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+ 8%</w:t>
            </w:r>
          </w:p>
        </w:tc>
        <w:tc>
          <w:tcPr>
            <w:tcW w:w="5000" w:type="dxa"/>
            <w:tcBorders/>
            <w:tcMar>
              <w:top w:w="15" w:type="dxa"/>
              <w:left w:w="15" w:type="dxa"/>
              <w:bottom w:w="15" w:type="dxa"/>
              <w:right w:w="750" w:type="dxa"/>
            </w:tcMar>
            <w:vAlign w:val="top"/>
          </w:tcPr>
          <w:p>
            <w:pPr>
              <w:spacing w:after="0"/>
              <w:ind w:left="0"/>
              <w:jc w:val="right"/>
            </w:pPr>
            <w:r>
              <w:rPr>
                <w:rFonts w:ascii="Courier New" w:hAnsi="Courier New"/>
                <w:b w:val="false"/>
                <w:i w:val="false"/>
                <w:color w:val="000000"/>
                <w:sz w:val="22"/>
              </w:rPr>
              <w:t>$50,001 to $200,000</w:t>
            </w:r>
          </w:p>
        </w:tc>
      </w:tr>
      <w:tr>
        <w:trPr/>
        <w:tc>
          <w:tcPr>
            <w:tcW w:w="20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+ 12%</w:t>
            </w:r>
          </w:p>
        </w:tc>
        <w:tc>
          <w:tcPr>
            <w:tcW w:w="5000" w:type="dxa"/>
            <w:tcBorders/>
            <w:tcMar>
              <w:top w:w="15" w:type="dxa"/>
              <w:left w:w="15" w:type="dxa"/>
              <w:bottom w:w="15" w:type="dxa"/>
              <w:right w:w="750" w:type="dxa"/>
            </w:tcMar>
            <w:vAlign w:val="top"/>
          </w:tcPr>
          <w:p>
            <w:pPr>
              <w:spacing w:after="0"/>
              <w:ind w:left="0"/>
              <w:jc w:val="right"/>
            </w:pPr>
            <w:r>
              <w:rPr>
                <w:rFonts w:ascii="Courier New" w:hAnsi="Courier New"/>
                <w:b w:val="false"/>
                <w:i w:val="false"/>
                <w:color w:val="000000"/>
                <w:sz w:val="22"/>
              </w:rPr>
              <w:t>$200,001 and above</w:t>
            </w:r>
          </w:p>
        </w:tc>
      </w:tr>
      <w:tr>
        <w:trPr/>
        <w:tc>
          <w:tcPr>
            <w:tcW w:w="0" w:type="auto"/>
            <w:gridSpan w:val="2"/>
            <w:tcBorders/>
            <w:tcMar>
              <w:top w:w="15" w:type="dxa"/>
              <w:left w:w="15" w:type="dxa"/>
              <w:bottom w:w="15" w:type="dxa"/>
              <w:right w:w="15" w:type="dxa"/>
            </w:tcMar>
            <w:vAlign w:val="top"/>
          </w:tcP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 xml:space="preserve">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If Mrs. Hall's taxable income is $227,000, her average tax rate is 12%.</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If Mr. Poe's taxable income is $41,200, his marginal tax rate is 8%.</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If Ms. Kaye's taxable income is $63,800, her marginal tax rate is 8%.</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None of the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74)</w:t>
        <w:tab/>
      </w:r>
      <w:r>
        <w:rPr>
          <w:rFonts w:ascii="Times New Roman"/>
          <w:b w:val="false"/>
          <w:i w:val="false"/>
          <w:color w:val="000000"/>
          <w:sz w:val="24"/>
        </w:rPr>
        <w:t>Jurisdiction M imposes an individual income tax based on the following schedule.</w:t>
      </w:r>
      <w:r>
        <w:rPr>
          <w:rFonts w:ascii="Times New Roman"/>
          <w:sz w:val="24"/>
        </w:rPr>
        <w:br/>
      </w:r>
      <w:r>
        <w:rPr>
          <w:rFonts w:ascii="Times New Roman"/>
          <w:b w:val="false"/>
          <w:i w:val="false"/>
          <w:color w:val="000000"/>
          <w:sz w:val="24"/>
        </w:rPr>
        <w:t xml:space="preserve"> </w:t>
      </w:r>
      <w:r>
        <w:rPr>
          <w:rFonts w:ascii="Times New Roman"/>
          <w:sz w:val="24"/>
        </w:rPr>
      </w:r>
    </w:p>
    <w:tbl>
      <w:tblPr>
        <w:tblLayout w:type="autofit"/>
      </w:tblPr>
      <w:tr>
        <w:trPr/>
        <w:tc>
          <w:tcPr>
            <w:tcW w:w="20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Rate</w:t>
            </w:r>
          </w:p>
        </w:tc>
        <w:tc>
          <w:tcPr>
            <w:tcW w:w="50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Income bracket</w:t>
            </w:r>
          </w:p>
        </w:tc>
      </w:tr>
      <w:tr>
        <w:trPr/>
        <w:tc>
          <w:tcPr>
            <w:tcW w:w="20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5%</w:t>
            </w:r>
          </w:p>
        </w:tc>
        <w:tc>
          <w:tcPr>
            <w:tcW w:w="5000" w:type="dxa"/>
            <w:tcBorders/>
            <w:tcMar>
              <w:top w:w="15" w:type="dxa"/>
              <w:left w:w="15" w:type="dxa"/>
              <w:bottom w:w="15" w:type="dxa"/>
              <w:right w:w="750" w:type="dxa"/>
            </w:tcMar>
            <w:vAlign w:val="top"/>
          </w:tcPr>
          <w:p>
            <w:pPr>
              <w:spacing w:after="0"/>
              <w:ind w:left="0"/>
              <w:jc w:val="right"/>
            </w:pPr>
            <w:r>
              <w:rPr>
                <w:rFonts w:ascii="Courier New" w:hAnsi="Courier New"/>
                <w:b w:val="false"/>
                <w:i w:val="false"/>
                <w:color w:val="000000"/>
                <w:sz w:val="22"/>
              </w:rPr>
              <w:t>$-0- to $50,000</w:t>
            </w:r>
          </w:p>
        </w:tc>
      </w:tr>
      <w:tr>
        <w:trPr/>
        <w:tc>
          <w:tcPr>
            <w:tcW w:w="20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+ 8%</w:t>
            </w:r>
          </w:p>
        </w:tc>
        <w:tc>
          <w:tcPr>
            <w:tcW w:w="5000" w:type="dxa"/>
            <w:tcBorders/>
            <w:tcMar>
              <w:top w:w="15" w:type="dxa"/>
              <w:left w:w="15" w:type="dxa"/>
              <w:bottom w:w="15" w:type="dxa"/>
              <w:right w:w="750" w:type="dxa"/>
            </w:tcMar>
            <w:vAlign w:val="top"/>
          </w:tcPr>
          <w:p>
            <w:pPr>
              <w:spacing w:after="0"/>
              <w:ind w:left="0"/>
              <w:jc w:val="right"/>
            </w:pPr>
            <w:r>
              <w:rPr>
                <w:rFonts w:ascii="Courier New" w:hAnsi="Courier New"/>
                <w:b w:val="false"/>
                <w:i w:val="false"/>
                <w:color w:val="000000"/>
                <w:sz w:val="22"/>
              </w:rPr>
              <w:t>$50,001 to $200,000</w:t>
            </w:r>
          </w:p>
        </w:tc>
      </w:tr>
      <w:tr>
        <w:trPr/>
        <w:tc>
          <w:tcPr>
            <w:tcW w:w="20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+ 12%</w:t>
            </w:r>
          </w:p>
        </w:tc>
        <w:tc>
          <w:tcPr>
            <w:tcW w:w="5000" w:type="dxa"/>
            <w:tcBorders/>
            <w:tcMar>
              <w:top w:w="15" w:type="dxa"/>
              <w:left w:w="15" w:type="dxa"/>
              <w:bottom w:w="15" w:type="dxa"/>
              <w:right w:w="750" w:type="dxa"/>
            </w:tcMar>
            <w:vAlign w:val="top"/>
          </w:tcPr>
          <w:p>
            <w:pPr>
              <w:spacing w:after="0"/>
              <w:ind w:left="0"/>
              <w:jc w:val="right"/>
            </w:pPr>
            <w:r>
              <w:rPr>
                <w:rFonts w:ascii="Courier New" w:hAnsi="Courier New"/>
                <w:b w:val="false"/>
                <w:i w:val="false"/>
                <w:color w:val="000000"/>
                <w:sz w:val="22"/>
              </w:rPr>
              <w:t>$200,001 and above</w:t>
            </w:r>
          </w:p>
        </w:tc>
      </w:tr>
      <w:tr>
        <w:trPr/>
        <w:tc>
          <w:tcPr>
            <w:tcW w:w="0" w:type="auto"/>
            <w:gridSpan w:val="2"/>
            <w:tcBorders/>
            <w:tcMar>
              <w:top w:w="15" w:type="dxa"/>
              <w:left w:w="15" w:type="dxa"/>
              <w:bottom w:w="15" w:type="dxa"/>
              <w:right w:w="15" w:type="dxa"/>
            </w:tcMar>
            <w:vAlign w:val="top"/>
          </w:tcP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 xml:space="preserve">Which of the following statements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If Ms. Lui's taxable income is $33,400, her average tax rate is 5%.</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If Mr. Bell's taxable income is $519,900, his marginal tax rate is 12%.</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If Ms. Vern's taxable income is $188,000, her average tax rate is 7.2%.</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None of the choices are false.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75)</w:t>
        <w:tab/>
      </w:r>
      <w:r>
        <w:rPr>
          <w:rFonts w:ascii="Times New Roman"/>
          <w:b w:val="false"/>
          <w:i w:val="false"/>
          <w:color w:val="000000"/>
          <w:sz w:val="24"/>
        </w:rPr>
        <w:t>Congress originally enacted the federal estate and gift taxes to improve:</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Distributional justice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Economic efficiency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Vertical equity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Horizontal equity</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76)</w:t>
        <w:tab/>
      </w:r>
      <w:r>
        <w:rPr>
          <w:rFonts w:ascii="Times New Roman"/>
          <w:sz w:val="24"/>
        </w:rPr>
        <w:t>Which of the following tax policies would increase the redistribution of wealth across society?</w:t>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Repealing the federal estate and gift taxes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Increasing the highest marginal income tax rate by 10%</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Replacing the progressive income tax rate structure with a flat rate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Replacing the income tax with a national sales tax</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77)</w:t>
        <w:tab/>
      </w:r>
      <w:r>
        <w:rPr>
          <w:rFonts w:ascii="Times New Roman"/>
          <w:b w:val="false"/>
          <w:i w:val="false"/>
          <w:color w:val="000000"/>
          <w:sz w:val="24"/>
        </w:rPr>
        <w:t xml:space="preserve">Which of the following statements concerning the standard of fairness is </w:t>
      </w:r>
      <w:r>
        <w:rPr>
          <w:rFonts w:ascii="Times New Roman"/>
          <w:b/>
          <w:i w:val="false"/>
          <w:color w:val="000000"/>
          <w:sz w:val="24"/>
        </w:rPr>
        <w:t>false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People who believe that a tax is unfair are more likely to evade the tax.</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People believe that the federal income tax is unfair because it contains preferences available only to wealthy individuals.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public perception that the federal income tax is unfair has decreased in recent decades.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None of the choices are false.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78)</w:t>
        <w:tab/>
      </w:r>
      <w:r>
        <w:rPr>
          <w:rFonts w:ascii="Times New Roman"/>
          <w:b w:val="false"/>
          <w:i w:val="false"/>
          <w:color w:val="000000"/>
          <w:sz w:val="24"/>
        </w:rPr>
        <w:t xml:space="preserve">Assume that Congress plans to amend the federal income tax to provide a deduction for the first $2,400 of residential rent paid by families with incomes below the federal poverty level. 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amendment is intended to improve the efficiency of the tax.</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amendment is intended to improve the equity of the tax.</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amendment is intended to improve the simplicity of the tax.</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amendment is intended to improve the convenience of the tax.</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79)</w:t>
        <w:tab/>
      </w:r>
      <w:r>
        <w:rPr>
          <w:rFonts w:ascii="Times New Roman"/>
          <w:b w:val="false"/>
          <w:i w:val="false"/>
          <w:color w:val="000000"/>
          <w:sz w:val="24"/>
        </w:rPr>
        <w:t xml:space="preserve">Assume that Congress plans to amend the federal individual income tax to eliminate the deductions for medical care, charitable contributions, and home mortgage interest. 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amendment will reduce the complexity of the tax.</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amendment will increase the horizontal equity of the tax.</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amendment will increase the neutrality of the tax.</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Both the amendment will reduce the complexity of the tax and will increase the neutrality of the tax.</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80)</w:t>
        <w:tab/>
      </w:r>
      <w:r>
        <w:rPr>
          <w:rFonts w:ascii="Times New Roman"/>
          <w:b w:val="false"/>
          <w:i w:val="false"/>
          <w:color w:val="000000"/>
          <w:sz w:val="24"/>
        </w:rPr>
        <w:t xml:space="preserve">Assume that Congress plans to amend the federal income tax to provide a deduction for the cost of energy-efficient fluorescent light bulbs. 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amendment is intended to improve the efficiency of the tax.</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amendment is intended to improve the equity of the tax.</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amendment is intended to improve the simplicity of the tax.</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amendment is intended to improve the convenience of the tax.</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81)</w:t>
        <w:tab/>
      </w:r>
      <w:r>
        <w:rPr>
          <w:rFonts w:ascii="Times New Roman"/>
          <w:b w:val="false"/>
          <w:i w:val="false"/>
          <w:color w:val="000000"/>
          <w:sz w:val="24"/>
        </w:rPr>
        <w:t xml:space="preserve">Congress recently amended the tax law to make it easier for individuals to file their income tax returns electronically (online). Which of the following statements is </w:t>
      </w:r>
      <w:r>
        <w:rPr>
          <w:rFonts w:ascii="Times New Roman"/>
          <w:b/>
          <w:i w:val="false"/>
          <w:color w:val="000000"/>
          <w:sz w:val="24"/>
        </w:rPr>
        <w:t>true</w:t>
      </w:r>
      <w:r>
        <w:rPr>
          <w:rFonts w:ascii="Times New Roman"/>
          <w:b w:val="false"/>
          <w:i w:val="false"/>
          <w:color w:val="000000"/>
          <w:sz w:val="24"/>
        </w:rPr>
        <w:t>?</w:t>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amendment is intended to improve the efficiency of the tax.</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amendment is intended to improve the equity of the tax.</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amendment is intended to improve the simplicity of the tax.</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amendment is intended to improve the convenience of the tax.</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ESSAY. Write your answer in the space provided or on a separate sheet of paper.</w:t>
        <w:br/>
      </w:r>
      <w:r>
        <w:rPr>
          <w:rFonts w:ascii="Times New Roman"/>
          <w:b/>
          <w:sz w:val="24"/>
        </w:rPr>
        <w:t>82)</w:t>
        <w:tab/>
      </w:r>
      <w:r>
        <w:rPr>
          <w:rFonts w:ascii="Times New Roman"/>
          <w:b w:val="false"/>
          <w:i w:val="false"/>
          <w:color w:val="000000"/>
          <w:sz w:val="24"/>
        </w:rPr>
        <w:t>Mr. and Mrs. Boln earn $63,000 annual income and pay 20% in state and federal income tax. If tax rates increase so that the couple's annual rate increases to 25%, how much additional income must they earn to maintain their after-tax standard of living?</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83)</w:t>
        <w:tab/>
      </w:r>
      <w:r>
        <w:rPr>
          <w:rFonts w:ascii="Times New Roman"/>
          <w:b w:val="false"/>
          <w:i w:val="false"/>
          <w:color w:val="000000"/>
          <w:sz w:val="24"/>
        </w:rPr>
        <w:t xml:space="preserve">Mr. Ohno owns and operates a part-time service business that generates $80,000 annual taxable income. Assume that his federal tax rate on this income is 17%. Because of recent legislation, this rate will increase to 25% next year.  </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Based on a static forecast, how much additional revenue will the federal government collect from Mr. Ohno next year?</w:t>
      </w:r>
      <w:r>
        <w:rPr>
          <w:rFonts w:ascii="Times New Roman"/>
          <w:b w:val="false"/>
          <w:i w:val="false"/>
          <w:color w:val="000000"/>
          <w:sz w:val="24"/>
        </w:rPr>
        <w:t>How much additional revenue will the federal government collect if Mr. Ohno decides to work fewer hours and consequently earns only $50,000 next year?</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84)</w:t>
        <w:tab/>
      </w:r>
      <w:r>
        <w:rPr>
          <w:rFonts w:ascii="Times New Roman"/>
          <w:b w:val="false"/>
          <w:i w:val="false"/>
          <w:color w:val="000000"/>
          <w:sz w:val="24"/>
        </w:rPr>
        <w:t>The City of Willford levies a flat 7% tax on individual income in excess of $55,000. Individuals who earn $55,000 or less pay no income tax.</w:t>
      </w:r>
      <w:r>
        <w:rPr>
          <w:rFonts w:ascii="Times New Roman"/>
          <w:b w:val="false"/>
          <w:i w:val="false"/>
          <w:color w:val="000000"/>
          <w:sz w:val="24"/>
        </w:rPr>
        <w:t>Ms. Vello earned $127,200 income this year. Compute her city income tax and determine her average tax rate.</w:t>
      </w:r>
      <w:r>
        <w:rPr>
          <w:rFonts w:ascii="Times New Roman"/>
          <w:b w:val="false"/>
          <w:i w:val="false"/>
          <w:color w:val="000000"/>
          <w:sz w:val="24"/>
        </w:rPr>
        <w:t>Mr. Sui earned $68,900 income this year. Compute his city income tax and determine his average tax rate.</w:t>
      </w:r>
      <w:r>
        <w:rPr>
          <w:rFonts w:ascii="Times New Roman"/>
          <w:b w:val="false"/>
          <w:i w:val="false"/>
          <w:color w:val="000000"/>
          <w:sz w:val="24"/>
        </w:rPr>
        <w:t>Does Willford have a proportionate, progressive, or regressive tax rate structure?</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85)</w:t>
        <w:tab/>
      </w:r>
      <w:r>
        <w:rPr>
          <w:rFonts w:ascii="Times New Roman"/>
          <w:b w:val="false"/>
          <w:i w:val="false"/>
          <w:color w:val="000000"/>
          <w:sz w:val="24"/>
        </w:rPr>
        <w:t>The country of Valhalla levies an income tax with the following rate structure.</w:t>
      </w:r>
      <w:r>
        <w:rPr>
          <w:rFonts w:ascii="Times New Roman"/>
          <w:sz w:val="24"/>
        </w:rPr>
        <w:br/>
      </w:r>
      <w:r>
        <w:rPr>
          <w:rFonts w:ascii="Times New Roman"/>
          <w:b w:val="false"/>
          <w:i w:val="false"/>
          <w:color w:val="000000"/>
          <w:sz w:val="24"/>
        </w:rPr>
        <w:t xml:space="preserve"> </w:t>
      </w:r>
      <w:r>
        <w:rPr>
          <w:rFonts w:ascii="Times New Roman"/>
          <w:sz w:val="24"/>
        </w:rPr>
      </w:r>
    </w:p>
    <w:tbl>
      <w:tblPr>
        <w:tblLayout w:type="autofit"/>
      </w:tblPr>
      <w:tr>
        <w:trPr/>
        <w:tc>
          <w:tcPr>
            <w:tcW w:w="20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Rate</w:t>
            </w:r>
          </w:p>
        </w:tc>
        <w:tc>
          <w:tcPr>
            <w:tcW w:w="5000" w:type="dxa"/>
            <w:tcBorders/>
            <w:tcMar>
              <w:top w:w="15" w:type="dxa"/>
              <w:left w:w="15" w:type="dxa"/>
              <w:bottom w:w="15" w:type="dxa"/>
              <w:right w:w="15" w:type="dxa"/>
            </w:tcMar>
            <w:vAlign w:val="top"/>
          </w:tcPr>
          <w:p>
            <w:pPr>
              <w:spacing w:after="0"/>
              <w:ind w:left="0"/>
              <w:jc w:val="center"/>
            </w:pPr>
            <w:r>
              <w:rPr>
                <w:rFonts w:ascii="Courier New" w:hAnsi="Courier New"/>
                <w:b w:val="false"/>
                <w:i w:val="false"/>
                <w:color w:val="000000"/>
                <w:sz w:val="22"/>
              </w:rPr>
              <w:t>Income bracket</w:t>
            </w:r>
          </w:p>
        </w:tc>
      </w:tr>
      <w:tr>
        <w:trPr/>
        <w:tc>
          <w:tcPr>
            <w:tcW w:w="20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5%</w:t>
            </w:r>
          </w:p>
        </w:tc>
        <w:tc>
          <w:tcPr>
            <w:tcW w:w="5000" w:type="dxa"/>
            <w:tcBorders/>
            <w:tcMar>
              <w:top w:w="15" w:type="dxa"/>
              <w:left w:w="15" w:type="dxa"/>
              <w:bottom w:w="15" w:type="dxa"/>
              <w:right w:w="750" w:type="dxa"/>
            </w:tcMar>
            <w:vAlign w:val="top"/>
          </w:tcPr>
          <w:p>
            <w:pPr>
              <w:spacing w:after="0"/>
              <w:ind w:left="0"/>
              <w:jc w:val="right"/>
            </w:pPr>
            <w:r>
              <w:rPr>
                <w:rFonts w:ascii="Courier New" w:hAnsi="Courier New"/>
                <w:b w:val="false"/>
                <w:i w:val="false"/>
                <w:color w:val="000000"/>
                <w:sz w:val="22"/>
              </w:rPr>
              <w:t>$-0- to $50,000</w:t>
            </w:r>
          </w:p>
        </w:tc>
      </w:tr>
      <w:tr>
        <w:trPr/>
        <w:tc>
          <w:tcPr>
            <w:tcW w:w="20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+ 10%</w:t>
            </w:r>
          </w:p>
        </w:tc>
        <w:tc>
          <w:tcPr>
            <w:tcW w:w="5000" w:type="dxa"/>
            <w:tcBorders/>
            <w:tcMar>
              <w:top w:w="15" w:type="dxa"/>
              <w:left w:w="15" w:type="dxa"/>
              <w:bottom w:w="15" w:type="dxa"/>
              <w:right w:w="750" w:type="dxa"/>
            </w:tcMar>
            <w:vAlign w:val="top"/>
          </w:tcPr>
          <w:p>
            <w:pPr>
              <w:spacing w:after="0"/>
              <w:ind w:left="0"/>
              <w:jc w:val="right"/>
            </w:pPr>
            <w:r>
              <w:rPr>
                <w:rFonts w:ascii="Courier New" w:hAnsi="Courier New"/>
                <w:b w:val="false"/>
                <w:i w:val="false"/>
                <w:color w:val="000000"/>
                <w:sz w:val="22"/>
              </w:rPr>
              <w:t>$50,001 to $150,000</w:t>
            </w:r>
          </w:p>
        </w:tc>
      </w:tr>
      <w:tr>
        <w:trPr/>
        <w:tc>
          <w:tcPr>
            <w:tcW w:w="2000" w:type="dxa"/>
            <w:tcBorders/>
            <w:tcMar>
              <w:top w:w="15" w:type="dxa"/>
              <w:left w:w="15" w:type="dxa"/>
              <w:bottom w:w="15" w:type="dxa"/>
              <w:right w:w="525" w:type="dxa"/>
            </w:tcMar>
            <w:vAlign w:val="top"/>
          </w:tcPr>
          <w:p>
            <w:pPr>
              <w:spacing w:after="0"/>
              <w:ind w:left="0"/>
              <w:jc w:val="right"/>
            </w:pPr>
            <w:r>
              <w:rPr>
                <w:rFonts w:ascii="Courier New" w:hAnsi="Courier New"/>
                <w:b w:val="false"/>
                <w:i w:val="false"/>
                <w:color w:val="000000"/>
                <w:sz w:val="22"/>
              </w:rPr>
              <w:t>+ 20%</w:t>
            </w:r>
          </w:p>
        </w:tc>
        <w:tc>
          <w:tcPr>
            <w:tcW w:w="5000" w:type="dxa"/>
            <w:tcBorders/>
            <w:tcMar>
              <w:top w:w="15" w:type="dxa"/>
              <w:left w:w="15" w:type="dxa"/>
              <w:bottom w:w="15" w:type="dxa"/>
              <w:right w:w="750" w:type="dxa"/>
            </w:tcMar>
            <w:vAlign w:val="top"/>
          </w:tcPr>
          <w:p>
            <w:pPr>
              <w:spacing w:after="0"/>
              <w:ind w:left="0"/>
              <w:jc w:val="right"/>
            </w:pPr>
            <w:r>
              <w:rPr>
                <w:rFonts w:ascii="Courier New" w:hAnsi="Courier New"/>
                <w:b w:val="false"/>
                <w:i w:val="false"/>
                <w:color w:val="000000"/>
                <w:sz w:val="22"/>
              </w:rPr>
              <w:t>$150,001 and above</w:t>
            </w:r>
          </w:p>
        </w:tc>
      </w:tr>
      <w:tr>
        <w:trPr/>
        <w:tc>
          <w:tcPr>
            <w:tcW w:w="0" w:type="auto"/>
            <w:gridSpan w:val="2"/>
            <w:tcBorders/>
            <w:tcMar>
              <w:top w:w="15" w:type="dxa"/>
              <w:left w:w="15" w:type="dxa"/>
              <w:bottom w:w="15" w:type="dxa"/>
              <w:right w:w="15" w:type="dxa"/>
            </w:tcMar>
            <w:vAlign w:val="top"/>
          </w:tcPr>
          <w:p/>
        </w:tc>
      </w:tr>
    </w:tbl>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val="false"/>
          <w:i w:val="false"/>
          <w:color w:val="000000"/>
          <w:sz w:val="24"/>
        </w:rPr>
        <w:t>Mrs. Greene's annual income is $125,000. Compute her tax, her average tax rate, and her marginal tax rate.</w:t>
      </w:r>
      <w:r>
        <w:rPr>
          <w:rFonts w:ascii="Times New Roman"/>
          <w:b w:val="false"/>
          <w:i w:val="false"/>
          <w:color w:val="000000"/>
          <w:sz w:val="24"/>
        </w:rPr>
        <w:t>Mr. Chen's annual income is $220,000. Compute his tax, his average tax rate, and his marginal tax rate.</w:t>
      </w:r>
      <w:r>
        <w:rPr>
          <w:rFonts w:ascii="Times New Roman"/>
          <w:b w:val="false"/>
          <w:i w:val="false"/>
          <w:color w:val="000000"/>
          <w:sz w:val="24"/>
        </w:rPr>
        <w:t>Does Valhalla have a proportionate, progressive, or regressive tax rate structure?</w:t>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36"/>
        </w:rPr>
        <w:br w:type="page"/>
        <w:t>Answer Key</w:t>
        <w:br/>
        <w:br/>
      </w:r>
      <w:r>
        <w:rPr>
          <w:rFonts w:ascii="Times New Roman"/>
          <w:sz w:val="32"/>
        </w:rPr>
        <w:t>Test name: chapter 2</w:t>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12)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13)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14)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15)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16)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17)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18)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19)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20)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21)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22)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23)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24)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25)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26)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27) FALSE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28)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29)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30) TRUE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31)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32)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33)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34)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35)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36)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37)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38)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39)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40)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41)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42)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43)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44)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45)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46)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47)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48)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49)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50)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51)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52)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53)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54)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55)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56)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57)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58)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59)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60)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61)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62)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63)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64)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65)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67)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68)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69)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70)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71)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72)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73)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74)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75)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76)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77)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78)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79)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80)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81)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82) </w:t>
      </w:r>
      <w:r>
        <w:rPr>
          <w:rFonts w:ascii="Times New Roman" w:hAnsi="Times New Roman"/>
          <w:b w:val="false"/>
          <w:i w:val="false"/>
          <w:color w:val="000000"/>
          <w:sz w:val="32"/>
        </w:rPr>
        <w:t xml:space="preserve">The Bolns' after-tax income </w:t>
      </w:r>
      <w:r>
        <w:rPr>
          <w:rFonts w:ascii="Times New Roman" w:hAnsi="Times New Roman"/>
          <w:b w:val="false"/>
          <w:i/>
          <w:color w:val="000000"/>
          <w:sz w:val="32"/>
        </w:rPr>
        <w:t>before</w:t>
      </w:r>
      <w:r>
        <w:rPr>
          <w:rFonts w:ascii="Times New Roman" w:hAnsi="Times New Roman"/>
          <w:b w:val="false"/>
          <w:i w:val="false"/>
          <w:color w:val="000000"/>
          <w:sz w:val="32"/>
        </w:rPr>
        <w:t xml:space="preserve"> the rate increase is $50,400 ($63,000 − [$63,000 × 20%]). To maintain their after-tax income </w:t>
      </w:r>
      <w:r>
        <w:rPr>
          <w:rFonts w:ascii="Times New Roman" w:hAnsi="Times New Roman"/>
          <w:b w:val="false"/>
          <w:i/>
          <w:color w:val="000000"/>
          <w:sz w:val="32"/>
        </w:rPr>
        <w:t>after</w:t>
      </w:r>
      <w:r>
        <w:rPr>
          <w:rFonts w:ascii="Times New Roman" w:hAnsi="Times New Roman"/>
          <w:b w:val="false"/>
          <w:i w:val="false"/>
          <w:color w:val="000000"/>
          <w:sz w:val="32"/>
        </w:rPr>
        <w:t xml:space="preserve"> the rate increase, the Bolns must earn $4,200 additional income to increase their before-tax income to $67,200 ($50,400 / 75%) on which they will pay $16,800 tax.</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83) </w:t>
      </w:r>
      <w:r>
        <w:rPr>
          <w:rFonts w:ascii="Times New Roman" w:hAnsi="Times New Roman"/>
          <w:b w:val="false"/>
          <w:i w:val="false"/>
          <w:color w:val="000000"/>
          <w:sz w:val="32"/>
        </w:rPr>
        <w:t>The federal government will collect $6,400 additional revenue ($80,000 × 8% rate increase).</w:t>
      </w:r>
      <w:r>
        <w:rPr>
          <w:rFonts w:ascii="Times New Roman" w:hAnsi="Times New Roman"/>
          <w:b w:val="false"/>
          <w:i w:val="false"/>
          <w:color w:val="000000"/>
          <w:sz w:val="32"/>
        </w:rPr>
        <w:t xml:space="preserve">$0. The federal government will collect $1,100 </w:t>
      </w:r>
      <w:r>
        <w:rPr>
          <w:rFonts w:ascii="Times New Roman" w:hAnsi="Times New Roman"/>
          <w:b w:val="false"/>
          <w:i/>
          <w:color w:val="000000"/>
          <w:sz w:val="32"/>
        </w:rPr>
        <w:t>less</w:t>
      </w:r>
      <w:r>
        <w:rPr>
          <w:rFonts w:ascii="Times New Roman" w:hAnsi="Times New Roman"/>
          <w:b w:val="false"/>
          <w:i w:val="false"/>
          <w:color w:val="000000"/>
          <w:sz w:val="32"/>
        </w:rPr>
        <w:t xml:space="preserve"> revenue ([$50,000 × 25%] − [$80,000 × 17%]).</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84) </w:t>
      </w:r>
      <w:r>
        <w:rPr>
          <w:rFonts w:ascii="Times New Roman" w:hAnsi="Times New Roman"/>
          <w:b w:val="false"/>
          <w:i w:val="false"/>
          <w:color w:val="000000"/>
          <w:sz w:val="32"/>
        </w:rPr>
        <w:t>Ms. Vello's tax is $5,054 ($72,200 × 7%), and her average tax rate is 3.97% ($5,054 / $127,200).</w:t>
      </w:r>
      <w:r>
        <w:rPr>
          <w:rFonts w:ascii="Times New Roman" w:hAnsi="Times New Roman"/>
          <w:b w:val="false"/>
          <w:i w:val="false"/>
          <w:color w:val="000000"/>
          <w:sz w:val="32"/>
        </w:rPr>
        <w:t>Mr. Sui's tax is $973 ($13,900 × 7%), and his average tax rate is 1.41% ($973 / $68,900).</w:t>
      </w:r>
      <w:r>
        <w:rPr>
          <w:rFonts w:ascii="Times New Roman" w:hAnsi="Times New Roman"/>
          <w:b w:val="false"/>
          <w:i w:val="false"/>
          <w:color w:val="000000"/>
          <w:sz w:val="32"/>
        </w:rPr>
        <w:t>Willford has a progressive tax rate structure because the rate increases as the base increases.</w:t>
      </w:r>
      <w:r>
        <w:rPr>
          <w:rFonts w:ascii="Times New Roman"/>
          <w:sz w:val="32"/>
        </w:rP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85) </w:t>
      </w:r>
      <w:r>
        <w:rPr>
          <w:rFonts w:ascii="Times New Roman" w:hAnsi="Times New Roman"/>
          <w:b w:val="false"/>
          <w:i w:val="false"/>
          <w:color w:val="000000"/>
          <w:sz w:val="32"/>
        </w:rPr>
        <w:t>Mrs. Greene's tax is $10,000 = (5% × $50,000) + (10% × $75,000). Her average tax rate is 8% ($10,000 / $125,000), and her marginal tax rate is 10%.</w:t>
      </w:r>
      <w:r>
        <w:rPr>
          <w:rFonts w:ascii="Times New Roman" w:hAnsi="Times New Roman"/>
          <w:b w:val="false"/>
          <w:i w:val="false"/>
          <w:color w:val="000000"/>
          <w:sz w:val="32"/>
        </w:rPr>
        <w:t>Mr. Chen's tax is $26,500 = (5% × $50,000) + (10% × $100,000) + (20% × $70,000). His average tax rate is 12.05% ($26,500 / $220,000) and his marginal tax rate is 20%.</w:t>
      </w:r>
      <w:r>
        <w:rPr>
          <w:rFonts w:ascii="Times New Roman" w:hAnsi="Times New Roman"/>
          <w:b w:val="false"/>
          <w:i w:val="false"/>
          <w:color w:val="000000"/>
          <w:sz w:val="32"/>
        </w:rPr>
        <w:t>Valhalla has a progressive tax rate structure because the rate increases as the base increases.</w:t>
      </w:r>
      <w:r>
        <w:rPr>
          <w:rFonts w:ascii="Times New Roman"/>
          <w:sz w:val="32"/>
        </w:rPr>
        <w:br/>
      </w:r>
    </w:p>
    <w:sectPr>
      <w:footerReference w:type="default" r:id="rId3"/>
      <w:type w:val="continuous"/>
      <w:pgMar w:top="1440" w:right="1440" w:bottom="1440" w:left="1440"/>
      <w:cols w:space="720"/>
    </w:sectPr>
  </w:body>
</w:document>
</file>

<file path=word/footer.xml><?xml version="1.0" encoding="utf-8"?>
<w:ftr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p>
    <w:pPr>
      <w:spacing w:before="0" w:after="0"/>
      <w:jc w:val="left"/>
    </w:pPr>
    <w:rPr>
      <w:noProof/>
    </w:rPr>
    <w:r>
      <w:rPr>
        <w:rFonts w:ascii="Calibri"/>
        <w:sz w:val="24"/>
      </w:rPr>
      <w:t>Version 1</w:t>
      <w:tab/>
      <w:tab/>
      <w:tab/>
      <w:tab/>
      <w:tab/>
      <w:tab/>
      <w:tab/>
      <w:tab/>
      <w:tab/>
      <w:tab/>
      <w:tab/>
    </w:r>
    <w:r>
      <w:rPr>
        <w:rFonts w:ascii="Times New Roman"/>
        <w:sz w:val="24"/>
      </w:rPr>
    </w:r>
    <w:fldSimple w:instr=" PAGE \* MERGEFORMAT ">
      <w:r>
        <w:rPr>
          <w:rFonts w:ascii="Times New Roman"/>
          <w:sz w:val="24"/>
        </w:rPr>
      </w:r>
    </w:fldSimple>
  </w:p>
</w:ftr>
</file>

<file path=word/numbering.xml><?xml version="1.0" encoding="utf-8"?>
<w:numbering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decimal"/>
      <w:lvlText w:val="%1."/>
      <w:lvlJc w:val="left"/>
      <w:pPr>
        <w:ind w:left="960" w:hanging="360"/>
      </w:pPr>
    </w:lvl>
  </w:abstractNum>
  <w:abstractNum w:abstractNumId="2">
    <w:multiLevelType w:val="multilevel"/>
    <w:lvl w:ilvl="0">
      <w:start w:val="1"/>
      <w:numFmt w:val="decimal"/>
      <w:lvlText w:val="%1."/>
      <w:lvlJc w:val="left"/>
      <w:pPr>
        <w:ind w:left="960" w:hanging="360"/>
      </w:pPr>
    </w:lvl>
  </w:abstractNum>
  <w:abstractNum w:abstractNumId="3">
    <w:multiLevelType w:val="multilevel"/>
    <w:lvl w:ilvl="0">
      <w:start w:val="1"/>
      <w:numFmt w:val="decimal"/>
      <w:lvlText w:val="%1."/>
      <w:lvlJc w:val="left"/>
      <w:pPr>
        <w:ind w:left="960" w:hanging="360"/>
      </w:pPr>
    </w:lvl>
  </w:abstractNum>
  <w:abstractNum w:abstractNumId="4">
    <w:multiLevelType w:val="multilevel"/>
    <w:lvl w:ilvl="0">
      <w:start w:val="1"/>
      <w:numFmt w:val="decimal"/>
      <w:lvlText w:val="%1."/>
      <w:lvlJc w:val="left"/>
      <w:pPr>
        <w:ind w:left="960" w:hanging="360"/>
      </w:pPr>
    </w:lvl>
  </w:abstractNum>
  <w:abstractNum w:abstractNumId="5">
    <w:multiLevelType w:val="multilevel"/>
    <w:lvl w:ilvl="0">
      <w:start w:val="1"/>
      <w:numFmt w:val="decimal"/>
      <w:lvlText w:val="%1."/>
      <w:lvlJc w:val="left"/>
      <w:pPr>
        <w:ind w:left="960" w:hanging="360"/>
      </w:pPr>
    </w:lvl>
  </w:abstractNum>
  <w:abstractNum w:abstractNumId="6">
    <w:multiLevelType w:val="multilevel"/>
    <w:lvl w:ilvl="0">
      <w:start w:val="1"/>
      <w:numFmt w:val="decimal"/>
      <w:lvlText w:val="%1."/>
      <w:lvlJc w:val="left"/>
      <w:pPr>
        <w:ind w:left="960" w:hanging="36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footer.xml" Type="http://schemas.openxmlformats.org/officeDocument/2006/relationships/footer" Id="rId3"/>
    <Relationship Target="numbering.xml" Type="http://schemas.openxmlformats.org/officeDocument/2006/relationships/numbering" Id="rId4"/>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

<file path=docProps/custom.xml><?xml version="1.0" encoding="utf-8"?>
<prop:Properties xmlns:vt="http://schemas.openxmlformats.org/officeDocument/2006/docPropsVTypes" xmlns:prop="http://schemas.openxmlformats.org/officeDocument/2006/custom-properties">
  <prop:property fmtid="{D5CDD505-2E9C-101B-9397-08002B2CF9AE}" pid="2" name="Copyright">
    <vt:lpwstr>Some content may be Copyright, McGraw Hill LLC</vt:lpwstr>
  </prop:property>
</prop:Properties>
</file>