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oter+xml" PartName="/word/footer.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1.0 (Apache licensed) using REFERENCE JAXB in Amazon.com Inc. Java 11.0.16.1 on Linux -->
    <w:sectPr>
      <w:footerReference w:type="default" r:id="rId3"/>
      <w:type w:val="continuous"/>
      <w:pgMar w:top="1440" w:right="1440" w:bottom="1440" w:left="1440"/>
      <w:cols w:space="720"/>
    </w:sectPr>
    <w:p>
      <w:pPr>
        <w:keepNext w:val="true"/>
        <w:keepLines w:val="true"/>
        <w:spacing w:after="0"/>
        <w:jc w:val="left"/>
      </w:pPr>
      <w:r>
        <w:rPr>
          <w:rFonts w:ascii="Times New Roman"/>
          <w:sz w:val="28"/>
        </w:rPr>
        <w:t>Student name:__________</w:t>
      </w:r>
    </w:p>
    <w:p>
      <w:pPr>
        <w:pStyle w:val="ListParagraph"/>
        <w:keepNext w:val="true"/>
        <w:keepLines w:val="true"/>
        <w:numPr>
          <w:ilvl w:val="0"/>
          <w:numId w:val="2"/>
        </w:numPr>
        <w:spacing w:after="0"/>
        <w:jc w:val="left"/>
      </w:pPr>
      <w:r>
        <w:rPr>
          <w:rFonts w:ascii="Times New Roman"/>
          <w:b w:val="false"/>
          <w:i w:val="false"/>
          <w:color w:val="000000"/>
          <w:sz w:val="24"/>
        </w:rPr>
        <w:t>A tax meets the standard of sufficiency if it is easy for people to pay the tax.</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federal government is not required to pay interest on the national debt.</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A static forecast of the revenue effect of a tax rate change assumes that the tax base does not change.</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A dynamic forecast of the revenue effect of a tax rate change assumes that the tax base does not change.</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federal Social Security tax burden on employees has not increased since 1990 because the tax rate has not increased since that year.</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If State H increases its sales tax rate by 1%, its sales tax revenue must also increase by 1%.</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city of Berne recently enacted a 10% tax on the price of a subway ticket. Consequently, Mrs. Lane now walks to work instead of taking the subway. This behavior illustrates the substitution effect of a tax increase.</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Jurisdiction P recently increased its income tax rate. A taxpayer who reacts to the increase by working harder to earn more income is demonstrating the income effect of the rate increase.</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According to supply-side economic theory, a decrease in tax rates for high-income individuals could actually cause an increase in tax revenue.</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Supply-side economic theory holds that people who benefit from a tax rate reduction will spend their tax windfall on consumption goods.</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State use taxes are more convenient for individual consumers than state sales taxes.</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Internal Revenue Service's cost of collecting $100 of tax revenue is about $3.</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A convenient tax has low compliance costs for taxpayers and low collection and enforcement costs for the government.</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According to the classical concept of efficiency, an efficient tax should be neutral in its effect on free market allocations of economic resources.</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According to the Keynesian concept of efficiency, an efficient tax should be neutral in its effect on free market allocations of economic resources.</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A tax meets the standard of efficiency if it generates enough revenue to pay for the public goods and services provided by the government.</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A provision in the tax law designed to encourage a specific economic behavior is a tax preference.</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A tax should result in either horizontal or vertical equity across taxpayers.</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Changes in the tax law intended to make the measurement of taxable income more precise usually make the tax law less complex.</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Vertical equity focuses on measurement of the tax base, and horizontal equity focuses on the tax rate structure.</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Tax systems with regressive rate structures result in a proportionally heavier tax burden on persons with smaller tax bases.</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A progressive rate structure and a proportionate rate structure both result in vertical equity across taxpayers.</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U.S. individual income tax has always used a progressive rate structure.</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declining marginal utility of income across individuals can be measured empirically.</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Tax liability divided by taxable income equals marginal tax rate.</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If a tax has a proportionate rate structure, a taxpayer's marginal rate and average rate are equal.</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If a tax has a progressive rate structure, a taxpayer's average rate is greater than her marginal rate.</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theory of distributive justice is a rationale for a progressive income tax system.</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Individuals who believe that a tax system is fair are less likely to cheat on their taxes than individuals who believe that the system is unfair.</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Many taxpayers believe the income tax system is unfair because it is so complicated.</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Government officials of Country Z estimate that next year's public programs will cost $19 million but that tax revenues will be only $15 million. The officials could avoid a deficit next year by adopting which of the following fiscal strategies?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Reduce the cost of public programs by $4 million.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Increase taxes by $4 million.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Borrow $4 million by issuing new government bonds.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All of these strategies will avoid a deficit.</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 xml:space="preserve">Government officials of Country Z estimate that next year's public programs will cost $19 million but that tax revenues will be only $15 million. Which of the following statements is </w:t>
      </w:r>
      <w:r>
        <w:rPr>
          <w:rFonts w:ascii="Times New Roman"/>
          <w:b/>
          <w:i w:val="false"/>
          <w:color w:val="000000"/>
          <w:sz w:val="24"/>
        </w:rPr>
        <w:t>false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Country Z's tax system is sufficient.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Country Z's government is engaging in deficit spending.</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If Country Z must borrow $4 million to pay for its public programs, its national debt will increase by $4 million.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Country Z's government could balance its budget by eliminating a program that costs $4 million.</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Government J decides that it must increase its tax revenue. Which of the strategies could result in more revenue?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Increase the rate of an existing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Expand the base of an existing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Enact a tax on a new base.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All of these strategies could result in more revenue for Government J.</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government of Nation C operated at a $32 billion deficit this year. The deficit suggests that Nation C's tax system is: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Inefficient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Insufficient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Unfair</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Inconvenient</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city of Belleview operated at an $865,000 surplus this year. The surplus suggests that the municipal tax system is: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Fair</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Efficient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Sufficient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Convenient</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 xml:space="preserve">Which of the following statements concerning the federal Social Security tax is </w:t>
      </w:r>
      <w:r>
        <w:rPr>
          <w:rFonts w:ascii="Times New Roman"/>
          <w:b/>
          <w:i w:val="false"/>
          <w:color w:val="000000"/>
          <w:sz w:val="24"/>
        </w:rPr>
        <w:t>true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tax burden increases annually because the rate generally increases annually.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tax burden increases annually because the base generally increases annually.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Both the rate and the base generally increase annually.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Social Security tax burden has not increased since 1990.</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A static forecast of the incremental revenue from a tax rate increase presumes that: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tax base will not change because of the rate increase.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tax base will increase by the same proportion as the rate increase.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tax base will decrease by the same proportion as the rate increase.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tax rate and the tax base are correlated.</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A dynamic forecast of the incremental revenue from a tax rate increase presumes that: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Taxpayers will not change their behavior because of the rate increase.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tax base will increase by the same proportion as the rate increase.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tax base will decrease by the same proportion as the rate increase.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tax rate and the tax base are correlated.</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 xml:space="preserve">Jurisdiction F levies a 10% excise tax on the purchase of golf carts. The annual revenue from this tax averages $800,000 (10% * $8 million average annual golf cart purchases). Jurisdiction F is considering raising the tax rate to 12%. Which of the following statements is </w:t>
      </w:r>
      <w:r>
        <w:rPr>
          <w:rFonts w:ascii="Times New Roman"/>
          <w:b/>
          <w:i w:val="false"/>
          <w:color w:val="000000"/>
          <w:sz w:val="24"/>
        </w:rPr>
        <w:t>true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rate increase will increase revenue by $160,000.</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Based on a dynamic forecast, the rate increase will increase revenue by $160,000.</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Based on a static forecast, the rate increase will increase revenue by $160,000.</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None of these choices are true.</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 xml:space="preserve">Last year, Government G levied a 35% tax on individual income, and Mr. Slate paid $35,000 tax on $100,000 income. This year, the government increased the tax rate to 40%. Which of the following statements is </w:t>
      </w:r>
      <w:r>
        <w:rPr>
          <w:rFonts w:ascii="Times New Roman"/>
          <w:b/>
          <w:i w:val="false"/>
          <w:color w:val="000000"/>
          <w:sz w:val="24"/>
        </w:rPr>
        <w:t>false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Based on a static forecast, government G should collect $5,000 additional tax from Mr. Slate this year.</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If Mr. Slate took a second job to maintain his after-tax disposable income, this behavior illustrates a substitution effect of the rate increase.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If Mr. Slate took a second job to maintain his after-tax disposable income, government G should collect more than $5,000 additional tax this year.</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If Mr. Slate sold an income-generating investment and used the money for personal consumption, this behavior illustrates a substitution effect of the rate increase.</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 xml:space="preserve">Which of the following statements about the substitution effect of an income tax rate increase is </w:t>
      </w:r>
      <w:r>
        <w:rPr>
          <w:rFonts w:ascii="Times New Roman"/>
          <w:b/>
          <w:i w:val="false"/>
          <w:color w:val="000000"/>
          <w:sz w:val="24"/>
        </w:rPr>
        <w:t>false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substitution effect is theoretically stronger for high-income taxpayers than for low-income taxpayers.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substitution effect is theoretically stronger for a family's secondary wage earner than for the family's primary wage earner.</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substitution effect is theoretically stronger for self-employed individuals who control their own time than for employees whose work schedules are controlled by their employers.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None of these choices are false.</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 xml:space="preserve">Which of the following statements about the income effect of an income tax rate increase is </w:t>
      </w:r>
      <w:r>
        <w:rPr>
          <w:rFonts w:ascii="Times New Roman"/>
          <w:b/>
          <w:i w:val="false"/>
          <w:color w:val="000000"/>
          <w:sz w:val="24"/>
        </w:rPr>
        <w:t>true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income effect is theoretically stronger for low-income taxpayers than for high-income taxpayers.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income effect is theoretically stronger for a family's secondary wage earner than for the family's primary wage earner.</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income effect motivates individuals to find ways to increase their before-tax income.</w:t>
      </w:r>
      <w:r>
        <w:rPr>
          <w:rFonts w:ascii="Times New Roman"/>
          <w:sz w:val="24"/>
        </w:rPr>
      </w:r>
    </w:p>
    <w:p>
      <w:pPr>
        <w:pStyle w:val="ListParagraph"/>
        <w:keepNext w:val="true"/>
        <w:keepLines w:val="true"/>
        <w:numPr>
          <w:ilvl w:val="7"/>
          <w:numId w:val="2"/>
        </w:numPr>
        <w:spacing w:after="0"/>
        <w:jc w:val="left"/>
      </w:pPr>
      <w:r>
        <w:rPr>
          <w:rFonts w:ascii="Times New Roman"/>
          <w:sz w:val="24"/>
        </w:rPr>
        <w:t>Both the income effect is theoretically stronger for low-income taxpayers than for high-income taxpayers and the income effect motivates individuals to find ways to increase their before-tax income are true.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 xml:space="preserve">Which of the following statements about the income and substitution effects of an income tax rate increase is </w:t>
      </w:r>
      <w:r>
        <w:rPr>
          <w:rFonts w:ascii="Times New Roman"/>
          <w:b/>
          <w:i w:val="false"/>
          <w:color w:val="000000"/>
          <w:sz w:val="24"/>
        </w:rPr>
        <w:t>true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income and substitution effects are contradictory behavioral reactions.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From the government's perspective, the substitution effect is more desirable than the income effect.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Faith in the income effect is the foundation for supply-side economic theory.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Dynamic forecasts of incremental tax revenues must consider the potential income effect but not the potential substitution effect of a rate increase.</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Supply-side economic theory: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Predicts that a decrease in the highest income tax rates will cause an increase in government revenues.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Is inconsistent with the substitution effect.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Was a clear failure following the Reagan administration tax cuts of the 1980s.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Predicts that taxpayers will save their tax windfall from a rate cut rather than spend or investment the windfall.</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Which of the following describes a tax that meets the standard of convenience?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 tax that the government can administer without excessive cost.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 tax that is easy for taxpayers to compute and pay.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 tax that minimizes the opportunity for noncompliance.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All of these describe a convenient tax.</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Which of the following taxes is most convenient for individuals (purchasers) to pay?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Sales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Use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Federal income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Real property tax</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 xml:space="preserve">Which of the following statements regarding a convenient tax is </w:t>
      </w:r>
      <w:r>
        <w:rPr>
          <w:rFonts w:ascii="Times New Roman"/>
          <w:b/>
          <w:i w:val="false"/>
          <w:color w:val="000000"/>
          <w:sz w:val="24"/>
        </w:rPr>
        <w:t>false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From the government's viewpoint, a good tax should be convenient to administer.</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From the taxpayer's viewpoint, a good tax should be convenient to pay.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 convenient tax should have a method of collection that offers maximum opportunity for noncompliance.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 convenient tax should permit taxpayers to compute their tax with reasonable certainty without incurring undue costs.</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Which of the following statements does not describe the classical standard of tax efficiency?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An efficient tax is a neutral factor in a free market economy.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An efficient tax does not change taxpayer behavior.</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An efficient tax encourages full employment.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An efficient tax favors a laissez-faire economy policy.</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statement that "an old tax is a good tax" means that: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Changes in the tax law create uncertainty in the business environment.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Changes in the tax law disrupt traditional planning strategies.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Changes in the tax law increase the compliance burden on businesses.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All of these choices are correct.</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city of Hartwell spends about $3 million annually on snow removal. The city is considering amending its real property tax law to allow homeowners to offset the cost of private snow removal against their annual property tax liability. This amendment would affect the: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Fairness of the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Efficiency of the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Sufficiency of the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Convenience of the tax</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Which of the following statements does not describe the Keynesian standard of tax efficiency?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An efficient tax encourages economic growth.</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An efficient tax encourages full employment.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An efficient tax encourages price-level stability.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All of these describe the Keynesian standard of tax efficiency.</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 xml:space="preserve">Government L levies a 4% excise tax on restaurant meals. It is considering reducing the rate to 2% on meals served in restaurants that ban cigarette and cigar smoking and to increase the rate to 5% in restaurants that allow smoking. Which of the following statements is </w:t>
      </w:r>
      <w:r>
        <w:rPr>
          <w:rFonts w:ascii="Times New Roman"/>
          <w:b/>
          <w:i w:val="false"/>
          <w:color w:val="000000"/>
          <w:sz w:val="24"/>
        </w:rPr>
        <w:t>true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rate change would improve the neutrality of the excise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rate change would improve the convenience of the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rate change is intended to affect social behavior.</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Both the rate change would improve the convenience of the tax and the rate change is intended to affect social behavior are true.</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 xml:space="preserve">Assume the state of California plans to amend its personal income tax laws to allow parents to reduce their tax by the cost of infant car seats. Which of the following statements is </w:t>
      </w:r>
      <w:r>
        <w:rPr>
          <w:rFonts w:ascii="Times New Roman"/>
          <w:b/>
          <w:i w:val="false"/>
          <w:color w:val="000000"/>
          <w:sz w:val="24"/>
        </w:rPr>
        <w:t>true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amendment creates a tax preference for parents who purchase infant car seats.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amendment is intended to change social behavior.</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amendment increases the neutrality of the tax law.</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Both the amendment creates a tax preference for parents who purchase infant car seats and is also intended to change social behavior are true.</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 xml:space="preserve">Which of the following statements concerning tax preferences is </w:t>
      </w:r>
      <w:r>
        <w:rPr>
          <w:rFonts w:ascii="Times New Roman"/>
          <w:b/>
          <w:i w:val="false"/>
          <w:color w:val="000000"/>
          <w:sz w:val="24"/>
        </w:rPr>
        <w:t>false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Tax preferences increase the complexity of the law.</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Tax preferences raise additional revenue for the government.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Tax preferences are government subsidies for targeted taxpayer activities.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Tax preferences do not improve the accurate measurement of the tax base.</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 xml:space="preserve">Which of the following statements concerning tax preferences is </w:t>
      </w:r>
      <w:r>
        <w:rPr>
          <w:rFonts w:ascii="Times New Roman"/>
          <w:b/>
          <w:i w:val="false"/>
          <w:color w:val="000000"/>
          <w:sz w:val="24"/>
        </w:rPr>
        <w:t>true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annual revenue loss from federal tax preferences is quantified in the Tax Expenditures Budget.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Tax preferences increase the fairness of the tax law.</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Tax preferences simplify the tax law.</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Tax preferences make the tax law more neutral across taxpayers.</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 xml:space="preserve">Which of the following statements about horizontal equity is </w:t>
      </w:r>
      <w:r>
        <w:rPr>
          <w:rFonts w:ascii="Times New Roman"/>
          <w:b/>
          <w:i w:val="false"/>
          <w:color w:val="000000"/>
          <w:sz w:val="24"/>
        </w:rPr>
        <w:t>false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Horizontal equity focuses on a rational and impartial measurement of the tax base.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Horizontal equity focuses on the measurement of taxpayers' ability to pay.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If persons with equal ability to pay a tax owe an equal amount of tax, the tax is horizontally equitable.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None of these choices are false.</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federal income tax law allows individuals whose property is destroyed by a natural disaster such as a fire or hurricane to reduce their taxable income by the amount of their financial loss. This rule is intended to improve the: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Convenience of the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Efficiency of the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Horizontal equity of the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Vertical equity of the tax</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sales tax laws of many states exempt the purchase of groceries and prescription drugs from tax. Such exemptions are intended to improve the: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Convenience of the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Equity of the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Sufficiency of the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Neutrality of the tax</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 xml:space="preserve">Which of the following statements about vertical equity is </w:t>
      </w:r>
      <w:r>
        <w:rPr>
          <w:rFonts w:ascii="Times New Roman"/>
          <w:b/>
          <w:i w:val="false"/>
          <w:color w:val="000000"/>
          <w:sz w:val="24"/>
        </w:rPr>
        <w:t>false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Vertical equity focuses on a fair rate structure instead of a fair measurement of the tax base.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If persons with greater ability to pay owe more tax than persons with lesser ability to pay, the tax is vertically equitable.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 tax with a single percentage rate is not vertically equitable.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None of these choices are false.</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Jurisdiction M imposes an individual income tax based on the following schedule.</w:t>
      </w:r>
      <w:r>
        <w:rPr>
          <w:rFonts w:ascii="Times New Roman"/>
          <w:sz w:val="24"/>
        </w:rPr>
      </w:r>
    </w:p>
    <w:tbl>
      <w:tblPr>
        <w:jc w:val="left"/>
        <w:tblInd w:w="360" w:type="dxa"/>
        <w:tblLayout w:type="autofit"/>
      </w:tblPr>
      <w:tr>
        <w:trPr>
          <w:cantSplit w:val="true"/>
        </w:trPr>
        <w:tc>
          <w:tcPr>
            <w:tcW w:w="2420"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Rate</w:t>
            </w:r>
          </w:p>
        </w:tc>
        <w:tc>
          <w:tcPr>
            <w:tcW w:w="4780"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Income bracket</w:t>
            </w:r>
          </w:p>
        </w:tc>
      </w:tr>
      <w:tr>
        <w:trPr>
          <w:cantSplit w:val="true"/>
        </w:trPr>
        <w:tc>
          <w:tcPr>
            <w:tcW w:w="2420"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i w:val="false"/>
                <w:color w:val="000000"/>
                <w:sz w:val="22"/>
              </w:rPr>
              <w:t>5%</w:t>
            </w:r>
          </w:p>
        </w:tc>
        <w:tc>
          <w:tcPr>
            <w:tcW w:w="4780" w:type="dxa"/>
            <w:tcBorders/>
            <w:tcMar>
              <w:top w:w="15" w:type="dxa"/>
              <w:left w:w="15" w:type="dxa"/>
              <w:bottom w:w="15" w:type="dxa"/>
              <w:right w:w="450" w:type="dxa"/>
            </w:tcMar>
            <w:vAlign w:val="top"/>
          </w:tcPr>
          <w:p>
            <w:pPr>
              <w:keepNext w:val="true"/>
              <w:keepLines w:val="true"/>
              <w:spacing w:after="0"/>
              <w:ind w:left="0"/>
              <w:jc w:val="right"/>
            </w:pPr>
            <w:r>
              <w:rPr>
                <w:rFonts w:ascii="Courier New" w:hAnsi="Courier New"/>
                <w:b w:val="false"/>
                <w:i w:val="false"/>
                <w:color w:val="000000"/>
                <w:sz w:val="22"/>
              </w:rPr>
              <w:t>$-0- to $50,000</w:t>
            </w:r>
          </w:p>
        </w:tc>
      </w:tr>
      <w:tr>
        <w:trPr>
          <w:cantSplit w:val="true"/>
        </w:trPr>
        <w:tc>
          <w:tcPr>
            <w:tcW w:w="2420"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i w:val="false"/>
                <w:color w:val="000000"/>
                <w:sz w:val="22"/>
              </w:rPr>
              <w:t>+ 8%</w:t>
            </w:r>
          </w:p>
        </w:tc>
        <w:tc>
          <w:tcPr>
            <w:tcW w:w="4780" w:type="dxa"/>
            <w:tcBorders/>
            <w:tcMar>
              <w:top w:w="15" w:type="dxa"/>
              <w:left w:w="15" w:type="dxa"/>
              <w:bottom w:w="15" w:type="dxa"/>
              <w:right w:w="450" w:type="dxa"/>
            </w:tcMar>
            <w:vAlign w:val="top"/>
          </w:tcPr>
          <w:p>
            <w:pPr>
              <w:keepNext w:val="true"/>
              <w:keepLines w:val="true"/>
              <w:spacing w:after="0"/>
              <w:ind w:left="0"/>
              <w:jc w:val="right"/>
            </w:pPr>
            <w:r>
              <w:rPr>
                <w:rFonts w:ascii="Courier New" w:hAnsi="Courier New"/>
                <w:b w:val="false"/>
                <w:i w:val="false"/>
                <w:color w:val="000000"/>
                <w:sz w:val="22"/>
              </w:rPr>
              <w:t>$50,001 to $200,000</w:t>
            </w:r>
          </w:p>
        </w:tc>
      </w:tr>
      <w:tr>
        <w:trPr>
          <w:cantSplit w:val="true"/>
        </w:trPr>
        <w:tc>
          <w:tcPr>
            <w:tcW w:w="2420"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i w:val="false"/>
                <w:color w:val="000000"/>
                <w:sz w:val="22"/>
              </w:rPr>
              <w:t>+ 12%</w:t>
            </w:r>
          </w:p>
        </w:tc>
        <w:tc>
          <w:tcPr>
            <w:tcW w:w="4780" w:type="dxa"/>
            <w:tcBorders/>
            <w:tcMar>
              <w:top w:w="15" w:type="dxa"/>
              <w:left w:w="15" w:type="dxa"/>
              <w:bottom w:w="15" w:type="dxa"/>
              <w:right w:w="450" w:type="dxa"/>
            </w:tcMar>
            <w:vAlign w:val="top"/>
          </w:tcPr>
          <w:p>
            <w:pPr>
              <w:keepNext w:val="true"/>
              <w:keepLines w:val="true"/>
              <w:spacing w:after="0"/>
              <w:ind w:left="0"/>
              <w:jc w:val="right"/>
            </w:pPr>
            <w:r>
              <w:rPr>
                <w:rFonts w:ascii="Courier New" w:hAnsi="Courier New"/>
                <w:b w:val="false"/>
                <w:i w:val="false"/>
                <w:color w:val="000000"/>
                <w:sz w:val="22"/>
              </w:rPr>
              <w:t>$200,001 and above</w:t>
            </w:r>
          </w:p>
        </w:tc>
      </w:tr>
    </w:tbl>
    <w:p>
      <w:pPr>
        <w:keepNext w:val="true"/>
        <w:keepLines w:val="true"/>
        <w:spacing w:after="0"/>
        <w:ind w:left="360"/>
        <w:jc w:val="left"/>
      </w:pPr>
      <w:r>
        <w:rPr>
          <w:rFonts w:ascii="Times New Roman"/>
          <w:b w:val="false"/>
          <w:i w:val="false"/>
          <w:color w:val="000000"/>
          <w:sz w:val="24"/>
        </w:rPr>
        <w:t xml:space="preserve">Which of the following statements is </w:t>
      </w:r>
      <w:r>
        <w:rPr>
          <w:rFonts w:ascii="Times New Roman"/>
          <w:b/>
          <w:i w:val="false"/>
          <w:color w:val="000000"/>
          <w:sz w:val="24"/>
        </w:rPr>
        <w:t>true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schedule provides no information as to whether Jurisdiction M's tax is horizontally equitable.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Jurisdiction M's tax is vertically equitable.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Jurisdiction M's tax is vertically equitable only for individuals with $50,000 or less taxable income.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Both "The schedule provides no information as to whether Jurisdiction M's tax is horizontally equitable" and "Jurisdiction M's tax is vertically equitable" are true.</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 xml:space="preserve">Which of the following statements about a regressive tax rate structure is </w:t>
      </w:r>
      <w:r>
        <w:rPr>
          <w:rFonts w:ascii="Times New Roman"/>
          <w:b/>
          <w:i w:val="false"/>
          <w:color w:val="000000"/>
          <w:sz w:val="24"/>
        </w:rPr>
        <w:t>false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 regressive rate structure cannot result in vertical equity.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Regressive rates decrease as the tax base increases.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 regressive rate structure places a proportionally heavier tax burden on taxpayers with smaller tax bases than persons with greater tax bases.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None of these choices are false.</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Vervet County levies a real property tax based on the following schedule.</w:t>
      </w:r>
      <w:r>
        <w:rPr>
          <w:rFonts w:ascii="Times New Roman"/>
          <w:sz w:val="24"/>
        </w:rPr>
      </w:r>
    </w:p>
    <w:tbl>
      <w:tblPr>
        <w:jc w:val="left"/>
        <w:tblInd w:w="360" w:type="dxa"/>
        <w:tblLayout w:type="autofit"/>
      </w:tblPr>
      <w:tr>
        <w:trPr>
          <w:trHeight w:val="60" w:hRule="atLeast"/>
          <w:cantSplit w:val="true"/>
        </w:trPr>
        <w:tc>
          <w:tcPr>
            <w:tcW w:w="2233" w:type="dxa"/>
            <w:tcBorders/>
            <w:tcMar>
              <w:top w:w="30" w:type="dxa"/>
              <w:left w:w="30" w:type="dxa"/>
              <w:bottom w:w="30" w:type="dxa"/>
              <w:right w:w="30" w:type="dxa"/>
            </w:tcMar>
            <w:vAlign w:val="top"/>
          </w:tcPr>
          <w:p>
            <w:pPr>
              <w:keepNext w:val="true"/>
              <w:keepLines w:val="true"/>
              <w:spacing w:after="0"/>
              <w:ind w:left="0"/>
              <w:jc w:val="center"/>
            </w:pPr>
            <w:r>
              <w:rPr>
                <w:rFonts w:ascii="Courier New" w:hAnsi="Courier New"/>
                <w:b/>
                <w:i w:val="false"/>
                <w:color w:val="000000"/>
                <w:sz w:val="22"/>
              </w:rPr>
              <w:t>Rate</w:t>
            </w:r>
          </w:p>
        </w:tc>
        <w:tc>
          <w:tcPr>
            <w:tcW w:w="5167" w:type="dxa"/>
            <w:tcBorders/>
            <w:tcMar>
              <w:top w:w="30" w:type="dxa"/>
              <w:left w:w="30" w:type="dxa"/>
              <w:bottom w:w="30" w:type="dxa"/>
              <w:right w:w="30" w:type="dxa"/>
            </w:tcMar>
            <w:vAlign w:val="top"/>
          </w:tcPr>
          <w:p>
            <w:pPr>
              <w:keepNext w:val="true"/>
              <w:keepLines w:val="true"/>
              <w:spacing w:after="0"/>
              <w:ind w:left="0"/>
              <w:jc w:val="center"/>
            </w:pPr>
            <w:r>
              <w:rPr>
                <w:rFonts w:ascii="Courier New" w:hAnsi="Courier New"/>
                <w:b/>
                <w:i w:val="false"/>
                <w:color w:val="000000"/>
                <w:sz w:val="22"/>
              </w:rPr>
              <w:t>Assessed value</w:t>
            </w:r>
          </w:p>
        </w:tc>
      </w:tr>
      <w:tr>
        <w:trPr>
          <w:trHeight w:val="60" w:hRule="atLeast"/>
          <w:cantSplit w:val="true"/>
        </w:trPr>
        <w:tc>
          <w:tcPr>
            <w:tcW w:w="2233" w:type="dxa"/>
            <w:tcBorders/>
            <w:tcMar>
              <w:top w:w="30" w:type="dxa"/>
              <w:left w:w="30" w:type="dxa"/>
              <w:bottom w:w="30" w:type="dxa"/>
              <w:right w:w="525" w:type="dxa"/>
            </w:tcMar>
            <w:vAlign w:val="top"/>
          </w:tcPr>
          <w:p>
            <w:pPr>
              <w:keepNext w:val="true"/>
              <w:keepLines w:val="true"/>
              <w:spacing w:after="0"/>
              <w:ind w:left="0"/>
              <w:jc w:val="right"/>
            </w:pPr>
            <w:r>
              <w:rPr>
                <w:rFonts w:ascii="Courier New" w:hAnsi="Courier New"/>
                <w:b/>
                <w:i w:val="false"/>
                <w:color w:val="000000"/>
                <w:sz w:val="22"/>
              </w:rPr>
              <w:t>3%</w:t>
            </w:r>
          </w:p>
        </w:tc>
        <w:tc>
          <w:tcPr>
            <w:tcW w:w="5167" w:type="dxa"/>
            <w:tcBorders/>
            <w:tcMar>
              <w:top w:w="30" w:type="dxa"/>
              <w:left w:w="30" w:type="dxa"/>
              <w:bottom w:w="30" w:type="dxa"/>
              <w:right w:w="750" w:type="dxa"/>
            </w:tcMar>
            <w:vAlign w:val="top"/>
          </w:tcPr>
          <w:p>
            <w:pPr>
              <w:keepNext w:val="true"/>
              <w:keepLines w:val="true"/>
              <w:spacing w:after="0"/>
              <w:ind w:left="0"/>
              <w:jc w:val="right"/>
            </w:pPr>
            <w:r>
              <w:rPr>
                <w:rFonts w:ascii="Courier New" w:hAnsi="Courier New"/>
                <w:b w:val="false"/>
                <w:i w:val="false"/>
                <w:color w:val="000000"/>
                <w:sz w:val="22"/>
              </w:rPr>
              <w:t>$-0- to $250,000</w:t>
            </w:r>
          </w:p>
        </w:tc>
      </w:tr>
      <w:tr>
        <w:trPr>
          <w:trHeight w:val="60" w:hRule="atLeast"/>
          <w:cantSplit w:val="true"/>
        </w:trPr>
        <w:tc>
          <w:tcPr>
            <w:tcW w:w="2233" w:type="dxa"/>
            <w:tcBorders/>
            <w:tcMar>
              <w:top w:w="30" w:type="dxa"/>
              <w:left w:w="30" w:type="dxa"/>
              <w:bottom w:w="30" w:type="dxa"/>
              <w:right w:w="525" w:type="dxa"/>
            </w:tcMar>
            <w:vAlign w:val="top"/>
          </w:tcPr>
          <w:p>
            <w:pPr>
              <w:keepNext w:val="true"/>
              <w:keepLines w:val="true"/>
              <w:spacing w:after="0"/>
              <w:ind w:left="0"/>
              <w:jc w:val="right"/>
            </w:pPr>
            <w:r>
              <w:rPr>
                <w:rFonts w:ascii="Courier New" w:hAnsi="Courier New"/>
                <w:b/>
                <w:i w:val="false"/>
                <w:color w:val="000000"/>
                <w:sz w:val="22"/>
              </w:rPr>
              <w:t>+ 1%</w:t>
            </w:r>
          </w:p>
        </w:tc>
        <w:tc>
          <w:tcPr>
            <w:tcW w:w="5167" w:type="dxa"/>
            <w:tcBorders/>
            <w:tcMar>
              <w:top w:w="30" w:type="dxa"/>
              <w:left w:w="30" w:type="dxa"/>
              <w:bottom w:w="30" w:type="dxa"/>
              <w:right w:w="750" w:type="dxa"/>
            </w:tcMar>
            <w:vAlign w:val="top"/>
          </w:tcPr>
          <w:p>
            <w:pPr>
              <w:keepNext w:val="true"/>
              <w:keepLines w:val="true"/>
              <w:spacing w:after="0"/>
              <w:ind w:left="0"/>
              <w:jc w:val="right"/>
            </w:pPr>
            <w:r>
              <w:rPr>
                <w:rFonts w:ascii="Courier New" w:hAnsi="Courier New"/>
                <w:b w:val="false"/>
                <w:i w:val="false"/>
                <w:color w:val="000000"/>
                <w:sz w:val="22"/>
              </w:rPr>
              <w:t>$250,001 and above</w:t>
            </w:r>
          </w:p>
        </w:tc>
      </w:tr>
    </w:tbl>
    <w:p>
      <w:pPr>
        <w:keepNext w:val="true"/>
        <w:keepLines w:val="true"/>
        <w:spacing w:after="0"/>
        <w:ind w:left="360"/>
        <w:jc w:val="left"/>
      </w:pPr>
      <w:r>
        <w:rPr>
          <w:rFonts w:ascii="Times New Roman"/>
          <w:b w:val="false"/>
          <w:i w:val="false"/>
          <w:color w:val="000000"/>
          <w:sz w:val="24"/>
        </w:rPr>
        <w:t>Which type of rate structure does this tax use?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Proportionate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Regressive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Progressive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Dual-bracket</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Vervet County levies a real property tax based on the following schedule.</w:t>
      </w:r>
      <w:r>
        <w:rPr>
          <w:rFonts w:ascii="Times New Roman"/>
          <w:sz w:val="24"/>
        </w:rPr>
      </w:r>
    </w:p>
    <w:tbl>
      <w:tblPr>
        <w:jc w:val="left"/>
        <w:tblInd w:w="360" w:type="dxa"/>
        <w:tblLayout w:type="autofit"/>
      </w:tblPr>
      <w:tr>
        <w:trPr>
          <w:trHeight w:val="60" w:hRule="atLeast"/>
          <w:cantSplit w:val="true"/>
        </w:trPr>
        <w:tc>
          <w:tcPr>
            <w:tcW w:w="2352" w:type="dxa"/>
            <w:tcBorders/>
            <w:tcMar>
              <w:top w:w="30" w:type="dxa"/>
              <w:left w:w="30" w:type="dxa"/>
              <w:bottom w:w="30" w:type="dxa"/>
              <w:right w:w="30" w:type="dxa"/>
            </w:tcMar>
            <w:vAlign w:val="top"/>
          </w:tcPr>
          <w:p>
            <w:pPr>
              <w:keepNext w:val="true"/>
              <w:keepLines w:val="true"/>
              <w:spacing w:after="0"/>
              <w:ind w:left="0"/>
              <w:jc w:val="center"/>
            </w:pPr>
            <w:r>
              <w:rPr>
                <w:rFonts w:ascii="Courier New" w:hAnsi="Courier New"/>
                <w:b/>
                <w:i w:val="false"/>
                <w:color w:val="000000"/>
                <w:sz w:val="22"/>
              </w:rPr>
              <w:t>Rate</w:t>
            </w:r>
          </w:p>
        </w:tc>
        <w:tc>
          <w:tcPr>
            <w:tcW w:w="5448" w:type="dxa"/>
            <w:tcBorders/>
            <w:tcMar>
              <w:top w:w="30" w:type="dxa"/>
              <w:left w:w="30" w:type="dxa"/>
              <w:bottom w:w="30" w:type="dxa"/>
              <w:right w:w="30" w:type="dxa"/>
            </w:tcMar>
            <w:vAlign w:val="top"/>
          </w:tcPr>
          <w:p>
            <w:pPr>
              <w:keepNext w:val="true"/>
              <w:keepLines w:val="true"/>
              <w:spacing w:after="0"/>
              <w:ind w:left="0"/>
              <w:jc w:val="center"/>
            </w:pPr>
            <w:r>
              <w:rPr>
                <w:rFonts w:ascii="Courier New" w:hAnsi="Courier New"/>
                <w:b/>
                <w:i w:val="false"/>
                <w:color w:val="000000"/>
                <w:sz w:val="22"/>
              </w:rPr>
              <w:t>Assessed value</w:t>
            </w:r>
          </w:p>
        </w:tc>
      </w:tr>
      <w:tr>
        <w:trPr>
          <w:trHeight w:val="60" w:hRule="atLeast"/>
          <w:cantSplit w:val="true"/>
        </w:trPr>
        <w:tc>
          <w:tcPr>
            <w:tcW w:w="2352" w:type="dxa"/>
            <w:tcBorders/>
            <w:tcMar>
              <w:top w:w="30" w:type="dxa"/>
              <w:left w:w="30" w:type="dxa"/>
              <w:bottom w:w="30" w:type="dxa"/>
              <w:right w:w="525" w:type="dxa"/>
            </w:tcMar>
            <w:vAlign w:val="top"/>
          </w:tcPr>
          <w:p>
            <w:pPr>
              <w:keepNext w:val="true"/>
              <w:keepLines w:val="true"/>
              <w:spacing w:after="0"/>
              <w:ind w:left="0"/>
              <w:jc w:val="right"/>
            </w:pPr>
            <w:r>
              <w:rPr>
                <w:rFonts w:ascii="Courier New" w:hAnsi="Courier New"/>
                <w:b/>
                <w:i w:val="false"/>
                <w:color w:val="000000"/>
                <w:sz w:val="22"/>
              </w:rPr>
              <w:t>3%</w:t>
            </w:r>
          </w:p>
        </w:tc>
        <w:tc>
          <w:tcPr>
            <w:tcW w:w="5448" w:type="dxa"/>
            <w:tcBorders/>
            <w:tcMar>
              <w:top w:w="30" w:type="dxa"/>
              <w:left w:w="30" w:type="dxa"/>
              <w:bottom w:w="30" w:type="dxa"/>
              <w:right w:w="750" w:type="dxa"/>
            </w:tcMar>
            <w:vAlign w:val="top"/>
          </w:tcPr>
          <w:p>
            <w:pPr>
              <w:keepNext w:val="true"/>
              <w:keepLines w:val="true"/>
              <w:spacing w:after="0"/>
              <w:ind w:left="0"/>
              <w:jc w:val="right"/>
            </w:pPr>
            <w:r>
              <w:rPr>
                <w:rFonts w:ascii="Courier New" w:hAnsi="Courier New"/>
                <w:b w:val="false"/>
                <w:i w:val="false"/>
                <w:color w:val="000000"/>
                <w:sz w:val="22"/>
              </w:rPr>
              <w:t>$-0- to $250,000</w:t>
            </w:r>
          </w:p>
        </w:tc>
      </w:tr>
      <w:tr>
        <w:trPr>
          <w:trHeight w:val="60" w:hRule="atLeast"/>
          <w:cantSplit w:val="true"/>
        </w:trPr>
        <w:tc>
          <w:tcPr>
            <w:tcW w:w="2352" w:type="dxa"/>
            <w:tcBorders/>
            <w:tcMar>
              <w:top w:w="30" w:type="dxa"/>
              <w:left w:w="30" w:type="dxa"/>
              <w:bottom w:w="30" w:type="dxa"/>
              <w:right w:w="525" w:type="dxa"/>
            </w:tcMar>
            <w:vAlign w:val="top"/>
          </w:tcPr>
          <w:p>
            <w:pPr>
              <w:keepNext w:val="true"/>
              <w:keepLines w:val="true"/>
              <w:spacing w:after="0"/>
              <w:ind w:left="0"/>
              <w:jc w:val="right"/>
            </w:pPr>
            <w:r>
              <w:rPr>
                <w:rFonts w:ascii="Courier New" w:hAnsi="Courier New"/>
                <w:b/>
                <w:i w:val="false"/>
                <w:color w:val="000000"/>
                <w:sz w:val="22"/>
              </w:rPr>
              <w:t>+ 1%</w:t>
            </w:r>
          </w:p>
        </w:tc>
        <w:tc>
          <w:tcPr>
            <w:tcW w:w="5448" w:type="dxa"/>
            <w:tcBorders/>
            <w:tcMar>
              <w:top w:w="30" w:type="dxa"/>
              <w:left w:w="30" w:type="dxa"/>
              <w:bottom w:w="30" w:type="dxa"/>
              <w:right w:w="750" w:type="dxa"/>
            </w:tcMar>
            <w:vAlign w:val="top"/>
          </w:tcPr>
          <w:p>
            <w:pPr>
              <w:keepNext w:val="true"/>
              <w:keepLines w:val="true"/>
              <w:spacing w:after="0"/>
              <w:ind w:left="0"/>
              <w:jc w:val="right"/>
            </w:pPr>
            <w:r>
              <w:rPr>
                <w:rFonts w:ascii="Courier New" w:hAnsi="Courier New"/>
                <w:b w:val="false"/>
                <w:i w:val="false"/>
                <w:color w:val="000000"/>
                <w:sz w:val="22"/>
              </w:rPr>
              <w:t>$250,001 and above</w:t>
            </w:r>
          </w:p>
        </w:tc>
      </w:tr>
    </w:tbl>
    <w:p>
      <w:pPr>
        <w:keepNext w:val="true"/>
        <w:keepLines w:val="true"/>
        <w:spacing w:after="0"/>
        <w:ind w:left="360"/>
        <w:jc w:val="left"/>
      </w:pPr>
      <w:r>
        <w:rPr>
          <w:rFonts w:ascii="Times New Roman"/>
          <w:b w:val="false"/>
          <w:i w:val="false"/>
          <w:color w:val="000000"/>
          <w:sz w:val="24"/>
        </w:rPr>
        <w:t>Bilex Incorporated owns real property valued at $629,800. Compute Bilex's tax on this property.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$13,798</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$7,500</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$6,298</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None of the choices are correct.</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Vervet County levies a real property tax based on the following schedule.</w:t>
      </w:r>
      <w:r>
        <w:rPr>
          <w:rFonts w:ascii="Times New Roman"/>
          <w:sz w:val="24"/>
        </w:rPr>
      </w:r>
    </w:p>
    <w:tbl>
      <w:tblPr>
        <w:jc w:val="left"/>
        <w:tblInd w:w="360" w:type="dxa"/>
        <w:tblLayout w:type="autofit"/>
      </w:tblPr>
      <w:tr>
        <w:trPr>
          <w:cantSplit w:val="true"/>
        </w:trPr>
        <w:tc>
          <w:tcPr>
            <w:tcW w:w="2200"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Rate</w:t>
            </w:r>
          </w:p>
        </w:tc>
        <w:tc>
          <w:tcPr>
            <w:tcW w:w="5200"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Assessed value</w:t>
            </w:r>
          </w:p>
        </w:tc>
      </w:tr>
      <w:tr>
        <w:trPr>
          <w:cantSplit w:val="true"/>
        </w:trPr>
        <w:tc>
          <w:tcPr>
            <w:tcW w:w="2200"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i w:val="false"/>
                <w:color w:val="000000"/>
                <w:sz w:val="22"/>
              </w:rPr>
              <w:t>3%</w:t>
            </w:r>
          </w:p>
        </w:tc>
        <w:tc>
          <w:tcPr>
            <w:tcW w:w="5200" w:type="dxa"/>
            <w:tcBorders/>
            <w:tcMar>
              <w:top w:w="15" w:type="dxa"/>
              <w:left w:w="15" w:type="dxa"/>
              <w:bottom w:w="15" w:type="dxa"/>
              <w:right w:w="750" w:type="dxa"/>
            </w:tcMar>
            <w:vAlign w:val="top"/>
          </w:tcPr>
          <w:p>
            <w:pPr>
              <w:keepNext w:val="true"/>
              <w:keepLines w:val="true"/>
              <w:spacing w:after="0"/>
              <w:ind w:left="0"/>
              <w:jc w:val="right"/>
            </w:pPr>
            <w:r>
              <w:rPr>
                <w:rFonts w:ascii="Courier New" w:hAnsi="Courier New"/>
                <w:b w:val="false"/>
                <w:i w:val="false"/>
                <w:color w:val="000000"/>
                <w:sz w:val="22"/>
              </w:rPr>
              <w:t>$-0- to $250,000</w:t>
            </w:r>
          </w:p>
        </w:tc>
      </w:tr>
      <w:tr>
        <w:trPr>
          <w:cantSplit w:val="true"/>
        </w:trPr>
        <w:tc>
          <w:tcPr>
            <w:tcW w:w="2200"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i w:val="false"/>
                <w:color w:val="000000"/>
                <w:sz w:val="22"/>
              </w:rPr>
              <w:t>+ 1%</w:t>
            </w:r>
          </w:p>
        </w:tc>
        <w:tc>
          <w:tcPr>
            <w:tcW w:w="5200" w:type="dxa"/>
            <w:tcBorders/>
            <w:tcMar>
              <w:top w:w="15" w:type="dxa"/>
              <w:left w:w="15" w:type="dxa"/>
              <w:bottom w:w="15" w:type="dxa"/>
              <w:right w:w="750" w:type="dxa"/>
            </w:tcMar>
            <w:vAlign w:val="top"/>
          </w:tcPr>
          <w:p>
            <w:pPr>
              <w:keepNext w:val="true"/>
              <w:keepLines w:val="true"/>
              <w:spacing w:after="0"/>
              <w:ind w:left="0"/>
              <w:jc w:val="right"/>
            </w:pPr>
            <w:r>
              <w:rPr>
                <w:rFonts w:ascii="Courier New" w:hAnsi="Courier New"/>
                <w:b w:val="false"/>
                <w:i w:val="false"/>
                <w:color w:val="000000"/>
                <w:sz w:val="22"/>
              </w:rPr>
              <w:t>$250,001 and above</w:t>
            </w:r>
          </w:p>
        </w:tc>
      </w:tr>
    </w:tbl>
    <w:p>
      <w:pPr>
        <w:keepNext w:val="true"/>
        <w:keepLines w:val="true"/>
        <w:spacing w:after="0"/>
        <w:ind w:left="360"/>
        <w:jc w:val="left"/>
      </w:pPr>
      <w:r>
        <w:rPr>
          <w:rFonts w:ascii="Times New Roman"/>
          <w:b w:val="false"/>
          <w:i w:val="false"/>
          <w:color w:val="000000"/>
          <w:sz w:val="24"/>
        </w:rPr>
        <w:t xml:space="preserve">Which of the following statements is </w:t>
      </w:r>
      <w:r>
        <w:rPr>
          <w:rFonts w:ascii="Times New Roman"/>
          <w:b/>
          <w:i w:val="false"/>
          <w:color w:val="000000"/>
          <w:sz w:val="24"/>
        </w:rPr>
        <w:t>false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If Mr. Clem owns real property valued at $112,500, the average tax rate is 3%.</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If Ms. Barker owns real property valued at $455,650, the average tax rate is 2.1%.</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If Ms. Lumley owns real property valued at $750,000, the marginal tax rate is 1%.</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None of the choices are false.</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 xml:space="preserve">Which of the following statements about tax rate structures is </w:t>
      </w:r>
      <w:r>
        <w:rPr>
          <w:rFonts w:ascii="Times New Roman"/>
          <w:b/>
          <w:i w:val="false"/>
          <w:color w:val="000000"/>
          <w:sz w:val="24"/>
        </w:rPr>
        <w:t>true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Regressive rate structures are illegal in the United States.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 tax with a graduated rate structure must be either regressive or progressive.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 proportionate rate structure is the only structure resulting in vertical equity.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None of the choices are true.</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Jurisdiction M imposes an individual income tax based on the following schedule.</w:t>
      </w:r>
      <w:r>
        <w:rPr>
          <w:rFonts w:ascii="Times New Roman"/>
          <w:sz w:val="24"/>
        </w:rPr>
      </w:r>
    </w:p>
    <w:tbl>
      <w:tblPr>
        <w:jc w:val="left"/>
        <w:tblInd w:w="360" w:type="dxa"/>
        <w:tblLayout w:type="autofit"/>
      </w:tblPr>
      <w:tr>
        <w:trPr>
          <w:cantSplit w:val="true"/>
        </w:trPr>
        <w:tc>
          <w:tcPr>
            <w:tcW w:w="2200"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Rate</w:t>
            </w:r>
          </w:p>
        </w:tc>
        <w:tc>
          <w:tcPr>
            <w:tcW w:w="5200"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Income bracket</w:t>
            </w:r>
          </w:p>
        </w:tc>
      </w:tr>
      <w:tr>
        <w:trPr>
          <w:cantSplit w:val="true"/>
        </w:trPr>
        <w:tc>
          <w:tcPr>
            <w:tcW w:w="2200"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i w:val="false"/>
                <w:color w:val="000000"/>
                <w:sz w:val="22"/>
              </w:rPr>
              <w:t>5%</w:t>
            </w:r>
          </w:p>
        </w:tc>
        <w:tc>
          <w:tcPr>
            <w:tcW w:w="5200" w:type="dxa"/>
            <w:tcBorders/>
            <w:tcMar>
              <w:top w:w="15" w:type="dxa"/>
              <w:left w:w="15" w:type="dxa"/>
              <w:bottom w:w="15" w:type="dxa"/>
              <w:right w:w="750" w:type="dxa"/>
            </w:tcMar>
            <w:vAlign w:val="top"/>
          </w:tcPr>
          <w:p>
            <w:pPr>
              <w:keepNext w:val="true"/>
              <w:keepLines w:val="true"/>
              <w:spacing w:after="0"/>
              <w:ind w:left="0"/>
              <w:jc w:val="right"/>
            </w:pPr>
            <w:r>
              <w:rPr>
                <w:rFonts w:ascii="Courier New" w:hAnsi="Courier New"/>
                <w:b w:val="false"/>
                <w:i w:val="false"/>
                <w:color w:val="000000"/>
                <w:sz w:val="22"/>
              </w:rPr>
              <w:t>$-0- to $50,000</w:t>
            </w:r>
          </w:p>
        </w:tc>
      </w:tr>
      <w:tr>
        <w:trPr>
          <w:cantSplit w:val="true"/>
        </w:trPr>
        <w:tc>
          <w:tcPr>
            <w:tcW w:w="2200"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i w:val="false"/>
                <w:color w:val="000000"/>
                <w:sz w:val="22"/>
              </w:rPr>
              <w:t>+ 8%</w:t>
            </w:r>
          </w:p>
        </w:tc>
        <w:tc>
          <w:tcPr>
            <w:tcW w:w="5200" w:type="dxa"/>
            <w:tcBorders/>
            <w:tcMar>
              <w:top w:w="15" w:type="dxa"/>
              <w:left w:w="15" w:type="dxa"/>
              <w:bottom w:w="15" w:type="dxa"/>
              <w:right w:w="750" w:type="dxa"/>
            </w:tcMar>
            <w:vAlign w:val="top"/>
          </w:tcPr>
          <w:p>
            <w:pPr>
              <w:keepNext w:val="true"/>
              <w:keepLines w:val="true"/>
              <w:spacing w:after="0"/>
              <w:ind w:left="0"/>
              <w:jc w:val="right"/>
            </w:pPr>
            <w:r>
              <w:rPr>
                <w:rFonts w:ascii="Courier New" w:hAnsi="Courier New"/>
                <w:b w:val="false"/>
                <w:i w:val="false"/>
                <w:color w:val="000000"/>
                <w:sz w:val="22"/>
              </w:rPr>
              <w:t>$50,001 to $200,000</w:t>
            </w:r>
          </w:p>
        </w:tc>
      </w:tr>
      <w:tr>
        <w:trPr>
          <w:cantSplit w:val="true"/>
        </w:trPr>
        <w:tc>
          <w:tcPr>
            <w:tcW w:w="2200"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i w:val="false"/>
                <w:color w:val="000000"/>
                <w:sz w:val="22"/>
              </w:rPr>
              <w:t>+ 12%</w:t>
            </w:r>
          </w:p>
        </w:tc>
        <w:tc>
          <w:tcPr>
            <w:tcW w:w="5200" w:type="dxa"/>
            <w:tcBorders/>
            <w:tcMar>
              <w:top w:w="15" w:type="dxa"/>
              <w:left w:w="15" w:type="dxa"/>
              <w:bottom w:w="15" w:type="dxa"/>
              <w:right w:w="750" w:type="dxa"/>
            </w:tcMar>
            <w:vAlign w:val="top"/>
          </w:tcPr>
          <w:p>
            <w:pPr>
              <w:keepNext w:val="true"/>
              <w:keepLines w:val="true"/>
              <w:spacing w:after="0"/>
              <w:ind w:left="0"/>
              <w:jc w:val="right"/>
            </w:pPr>
            <w:r>
              <w:rPr>
                <w:rFonts w:ascii="Courier New" w:hAnsi="Courier New"/>
                <w:b w:val="false"/>
                <w:i w:val="false"/>
                <w:color w:val="000000"/>
                <w:sz w:val="22"/>
              </w:rPr>
              <w:t>$200,001 and above</w:t>
            </w:r>
          </w:p>
        </w:tc>
      </w:tr>
    </w:tbl>
    <w:p>
      <w:pPr>
        <w:keepNext w:val="true"/>
        <w:keepLines w:val="true"/>
        <w:spacing w:after="0"/>
        <w:ind w:left="360"/>
        <w:jc w:val="left"/>
      </w:pPr>
      <w:r>
        <w:rPr>
          <w:rFonts w:ascii="Times New Roman"/>
          <w:b w:val="false"/>
          <w:i w:val="false"/>
          <w:color w:val="000000"/>
          <w:sz w:val="24"/>
        </w:rPr>
        <w:t>Which type of rate structure does this tax use?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Proportionate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Regressive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Progressive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Multi-bracket</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 xml:space="preserve">Which of the following statements about a progressive tax rate structure is </w:t>
      </w:r>
      <w:r>
        <w:rPr>
          <w:rFonts w:ascii="Times New Roman"/>
          <w:b/>
          <w:i w:val="false"/>
          <w:color w:val="000000"/>
          <w:sz w:val="24"/>
        </w:rPr>
        <w:t>false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Progressive rates increase as the tax base increases.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Progressive rates reflect the theory of the declining marginal utility of income.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federal income tax has always used a progressive rate structure.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Progressive rates result in greater vertical equity than a proportionate rate.</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 xml:space="preserve">Which of the following statements about a proportionate income tax rate structure is </w:t>
      </w:r>
      <w:r>
        <w:rPr>
          <w:rFonts w:ascii="Times New Roman"/>
          <w:b/>
          <w:i w:val="false"/>
          <w:color w:val="000000"/>
          <w:sz w:val="24"/>
        </w:rPr>
        <w:t>false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 theoretic justification for a proportionate rate is its superior potential for wealth redistribution.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Under a proportionate rate structure, the marginal rate equals the average rate.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Under a proportionate rate structure, the taxpayer with the least income pays the same percentage of income to the government as the taxpayer with the most income.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None of the choices are false.</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 xml:space="preserve">Which of the following statements concerning income tax rate structures is </w:t>
      </w:r>
      <w:r>
        <w:rPr>
          <w:rFonts w:ascii="Times New Roman"/>
          <w:b/>
          <w:i w:val="false"/>
          <w:color w:val="000000"/>
          <w:sz w:val="24"/>
        </w:rPr>
        <w:t>false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Under a progressive rate structure, the marginal rate and the average rate are equal.</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Under a regressive rate structure, the average rate for low-income individuals is more than the average rate for high-income individuals.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Under either a regressive, proportionate, or progressive rate structure, high-income taxpayers pay more dollars of tax than low-income individuals.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 theory, a progressive rate structure results in equal economic sacrifice across taxpayers.</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 xml:space="preserve">Which of the following statements concerning a regressive tax rate structure is </w:t>
      </w:r>
      <w:r>
        <w:rPr>
          <w:rFonts w:ascii="Times New Roman"/>
          <w:b/>
          <w:i w:val="false"/>
          <w:color w:val="000000"/>
          <w:sz w:val="24"/>
        </w:rPr>
        <w:t>true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 regressive tax rate structure is justified by the tax policy of distributive justice.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 regressive rate structure is justified by the theory of the declining marginal utility of income.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Under a regressive rate structure, the average tax rate for high-income taxpayers is less than the marginal tax rate.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None of the statements are true.</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Jurisdiction M imposes an individual income tax based on the following schedule.</w:t>
      </w:r>
      <w:r>
        <w:rPr>
          <w:rFonts w:ascii="Times New Roman"/>
          <w:sz w:val="24"/>
        </w:rPr>
      </w:r>
    </w:p>
    <w:tbl>
      <w:tblPr>
        <w:jc w:val="left"/>
        <w:tblInd w:w="360" w:type="dxa"/>
        <w:tblLayout w:type="autofit"/>
      </w:tblPr>
      <w:tr>
        <w:trPr>
          <w:cantSplit w:val="true"/>
        </w:trPr>
        <w:tc>
          <w:tcPr>
            <w:tcW w:w="2000"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Rate</w:t>
            </w:r>
          </w:p>
        </w:tc>
        <w:tc>
          <w:tcPr>
            <w:tcW w:w="5000"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Income bracket</w:t>
            </w:r>
          </w:p>
        </w:tc>
      </w:tr>
      <w:tr>
        <w:trPr>
          <w:cantSplit w:val="true"/>
        </w:trPr>
        <w:tc>
          <w:tcPr>
            <w:tcW w:w="2000"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i w:val="false"/>
                <w:color w:val="000000"/>
                <w:sz w:val="22"/>
              </w:rPr>
              <w:t>5%</w:t>
            </w:r>
          </w:p>
        </w:tc>
        <w:tc>
          <w:tcPr>
            <w:tcW w:w="5000" w:type="dxa"/>
            <w:tcBorders/>
            <w:tcMar>
              <w:top w:w="15" w:type="dxa"/>
              <w:left w:w="15" w:type="dxa"/>
              <w:bottom w:w="15" w:type="dxa"/>
              <w:right w:w="750" w:type="dxa"/>
            </w:tcMar>
            <w:vAlign w:val="top"/>
          </w:tcPr>
          <w:p>
            <w:pPr>
              <w:keepNext w:val="true"/>
              <w:keepLines w:val="true"/>
              <w:spacing w:after="0"/>
              <w:ind w:left="0"/>
              <w:jc w:val="right"/>
            </w:pPr>
            <w:r>
              <w:rPr>
                <w:rFonts w:ascii="Courier New" w:hAnsi="Courier New"/>
                <w:b w:val="false"/>
                <w:i w:val="false"/>
                <w:color w:val="000000"/>
                <w:sz w:val="22"/>
              </w:rPr>
              <w:t>$-0- to $50,000</w:t>
            </w:r>
          </w:p>
        </w:tc>
      </w:tr>
      <w:tr>
        <w:trPr>
          <w:cantSplit w:val="true"/>
        </w:trPr>
        <w:tc>
          <w:tcPr>
            <w:tcW w:w="2000"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i w:val="false"/>
                <w:color w:val="000000"/>
                <w:sz w:val="22"/>
              </w:rPr>
              <w:t>+ 8%</w:t>
            </w:r>
          </w:p>
        </w:tc>
        <w:tc>
          <w:tcPr>
            <w:tcW w:w="5000" w:type="dxa"/>
            <w:tcBorders/>
            <w:tcMar>
              <w:top w:w="15" w:type="dxa"/>
              <w:left w:w="15" w:type="dxa"/>
              <w:bottom w:w="15" w:type="dxa"/>
              <w:right w:w="750" w:type="dxa"/>
            </w:tcMar>
            <w:vAlign w:val="top"/>
          </w:tcPr>
          <w:p>
            <w:pPr>
              <w:keepNext w:val="true"/>
              <w:keepLines w:val="true"/>
              <w:spacing w:after="0"/>
              <w:ind w:left="0"/>
              <w:jc w:val="right"/>
            </w:pPr>
            <w:r>
              <w:rPr>
                <w:rFonts w:ascii="Courier New" w:hAnsi="Courier New"/>
                <w:b w:val="false"/>
                <w:i w:val="false"/>
                <w:color w:val="000000"/>
                <w:sz w:val="22"/>
              </w:rPr>
              <w:t>$50,001 to $200,000</w:t>
            </w:r>
          </w:p>
        </w:tc>
      </w:tr>
      <w:tr>
        <w:trPr>
          <w:cantSplit w:val="true"/>
        </w:trPr>
        <w:tc>
          <w:tcPr>
            <w:tcW w:w="2000"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i w:val="false"/>
                <w:color w:val="000000"/>
                <w:sz w:val="22"/>
              </w:rPr>
              <w:t>+ 12%</w:t>
            </w:r>
          </w:p>
        </w:tc>
        <w:tc>
          <w:tcPr>
            <w:tcW w:w="5000" w:type="dxa"/>
            <w:tcBorders/>
            <w:tcMar>
              <w:top w:w="15" w:type="dxa"/>
              <w:left w:w="15" w:type="dxa"/>
              <w:bottom w:w="15" w:type="dxa"/>
              <w:right w:w="750" w:type="dxa"/>
            </w:tcMar>
            <w:vAlign w:val="top"/>
          </w:tcPr>
          <w:p>
            <w:pPr>
              <w:keepNext w:val="true"/>
              <w:keepLines w:val="true"/>
              <w:spacing w:after="0"/>
              <w:ind w:left="0"/>
              <w:jc w:val="right"/>
            </w:pPr>
            <w:r>
              <w:rPr>
                <w:rFonts w:ascii="Courier New" w:hAnsi="Courier New"/>
                <w:b w:val="false"/>
                <w:i w:val="false"/>
                <w:color w:val="000000"/>
                <w:sz w:val="22"/>
              </w:rPr>
              <w:t>$200,001 and above</w:t>
            </w:r>
          </w:p>
        </w:tc>
      </w:tr>
    </w:tbl>
    <w:p>
      <w:pPr>
        <w:keepNext w:val="true"/>
        <w:keepLines w:val="true"/>
        <w:spacing w:after="0"/>
        <w:ind w:left="360"/>
        <w:jc w:val="left"/>
      </w:pPr>
      <w:r>
        <w:rPr>
          <w:rFonts w:ascii="Times New Roman"/>
          <w:b w:val="false"/>
          <w:i w:val="false"/>
          <w:color w:val="000000"/>
          <w:sz w:val="24"/>
        </w:rPr>
        <w:t>Mr. Coen has $78,000 taxable income. Compute the tax on this income.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$4,740</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$6,240</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$8,740</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None of the choices are correct.</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Jurisdiction M imposes an individual income tax based on the following schedule.</w:t>
      </w:r>
      <w:r>
        <w:rPr>
          <w:rFonts w:ascii="Times New Roman"/>
          <w:sz w:val="24"/>
        </w:rPr>
      </w:r>
    </w:p>
    <w:tbl>
      <w:tblPr>
        <w:jc w:val="left"/>
        <w:tblInd w:w="360" w:type="dxa"/>
        <w:tblLayout w:type="autofit"/>
      </w:tblPr>
      <w:tr>
        <w:trPr>
          <w:cantSplit w:val="true"/>
        </w:trPr>
        <w:tc>
          <w:tcPr>
            <w:tcW w:w="2000"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Rate</w:t>
            </w:r>
          </w:p>
        </w:tc>
        <w:tc>
          <w:tcPr>
            <w:tcW w:w="5000"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Income bracket</w:t>
            </w:r>
          </w:p>
        </w:tc>
      </w:tr>
      <w:tr>
        <w:trPr>
          <w:cantSplit w:val="true"/>
        </w:trPr>
        <w:tc>
          <w:tcPr>
            <w:tcW w:w="2000"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i w:val="false"/>
                <w:color w:val="000000"/>
                <w:sz w:val="22"/>
              </w:rPr>
              <w:t>5%</w:t>
            </w:r>
          </w:p>
        </w:tc>
        <w:tc>
          <w:tcPr>
            <w:tcW w:w="5000" w:type="dxa"/>
            <w:tcBorders/>
            <w:tcMar>
              <w:top w:w="15" w:type="dxa"/>
              <w:left w:w="15" w:type="dxa"/>
              <w:bottom w:w="15" w:type="dxa"/>
              <w:right w:w="750" w:type="dxa"/>
            </w:tcMar>
            <w:vAlign w:val="top"/>
          </w:tcPr>
          <w:p>
            <w:pPr>
              <w:keepNext w:val="true"/>
              <w:keepLines w:val="true"/>
              <w:spacing w:after="0"/>
              <w:ind w:left="0"/>
              <w:jc w:val="right"/>
            </w:pPr>
            <w:r>
              <w:rPr>
                <w:rFonts w:ascii="Courier New" w:hAnsi="Courier New"/>
                <w:b w:val="false"/>
                <w:i w:val="false"/>
                <w:color w:val="000000"/>
                <w:sz w:val="22"/>
              </w:rPr>
              <w:t>$-0- to $50,000</w:t>
            </w:r>
          </w:p>
        </w:tc>
      </w:tr>
      <w:tr>
        <w:trPr>
          <w:cantSplit w:val="true"/>
        </w:trPr>
        <w:tc>
          <w:tcPr>
            <w:tcW w:w="2000"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i w:val="false"/>
                <w:color w:val="000000"/>
                <w:sz w:val="22"/>
              </w:rPr>
              <w:t>+ 8%</w:t>
            </w:r>
          </w:p>
        </w:tc>
        <w:tc>
          <w:tcPr>
            <w:tcW w:w="5000" w:type="dxa"/>
            <w:tcBorders/>
            <w:tcMar>
              <w:top w:w="15" w:type="dxa"/>
              <w:left w:w="15" w:type="dxa"/>
              <w:bottom w:w="15" w:type="dxa"/>
              <w:right w:w="750" w:type="dxa"/>
            </w:tcMar>
            <w:vAlign w:val="top"/>
          </w:tcPr>
          <w:p>
            <w:pPr>
              <w:keepNext w:val="true"/>
              <w:keepLines w:val="true"/>
              <w:spacing w:after="0"/>
              <w:ind w:left="0"/>
              <w:jc w:val="right"/>
            </w:pPr>
            <w:r>
              <w:rPr>
                <w:rFonts w:ascii="Courier New" w:hAnsi="Courier New"/>
                <w:b w:val="false"/>
                <w:i w:val="false"/>
                <w:color w:val="000000"/>
                <w:sz w:val="22"/>
              </w:rPr>
              <w:t>$50,001 to $200,000</w:t>
            </w:r>
          </w:p>
        </w:tc>
      </w:tr>
      <w:tr>
        <w:trPr>
          <w:cantSplit w:val="true"/>
        </w:trPr>
        <w:tc>
          <w:tcPr>
            <w:tcW w:w="2000"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i w:val="false"/>
                <w:color w:val="000000"/>
                <w:sz w:val="22"/>
              </w:rPr>
              <w:t>+ 12%</w:t>
            </w:r>
          </w:p>
        </w:tc>
        <w:tc>
          <w:tcPr>
            <w:tcW w:w="5000" w:type="dxa"/>
            <w:tcBorders/>
            <w:tcMar>
              <w:top w:w="15" w:type="dxa"/>
              <w:left w:w="15" w:type="dxa"/>
              <w:bottom w:w="15" w:type="dxa"/>
              <w:right w:w="750" w:type="dxa"/>
            </w:tcMar>
            <w:vAlign w:val="top"/>
          </w:tcPr>
          <w:p>
            <w:pPr>
              <w:keepNext w:val="true"/>
              <w:keepLines w:val="true"/>
              <w:spacing w:after="0"/>
              <w:ind w:left="0"/>
              <w:jc w:val="right"/>
            </w:pPr>
            <w:r>
              <w:rPr>
                <w:rFonts w:ascii="Courier New" w:hAnsi="Courier New"/>
                <w:b w:val="false"/>
                <w:i w:val="false"/>
                <w:color w:val="000000"/>
                <w:sz w:val="22"/>
              </w:rPr>
              <w:t>$200,001 and above</w:t>
            </w:r>
          </w:p>
        </w:tc>
      </w:tr>
    </w:tbl>
    <w:p>
      <w:pPr>
        <w:keepNext w:val="true"/>
        <w:keepLines w:val="true"/>
        <w:spacing w:after="0"/>
        <w:ind w:left="360"/>
        <w:jc w:val="left"/>
      </w:pPr>
      <w:r>
        <w:rPr>
          <w:rFonts w:ascii="Times New Roman"/>
          <w:b w:val="false"/>
          <w:i w:val="false"/>
          <w:color w:val="000000"/>
          <w:sz w:val="24"/>
        </w:rPr>
        <w:t>Ms. Owen has $314,000 taxable income. Compute the tax on this income.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$29,680</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$28,180</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$37,680</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None of the choices are correct.</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Jurisdiction M imposes an individual income tax based on the following schedule.</w:t>
      </w:r>
      <w:r>
        <w:rPr>
          <w:rFonts w:ascii="Times New Roman"/>
          <w:sz w:val="24"/>
        </w:rPr>
      </w:r>
    </w:p>
    <w:tbl>
      <w:tblPr>
        <w:jc w:val="left"/>
        <w:tblInd w:w="360" w:type="dxa"/>
        <w:tblLayout w:type="autofit"/>
      </w:tblPr>
      <w:tr>
        <w:trPr>
          <w:cantSplit w:val="true"/>
        </w:trPr>
        <w:tc>
          <w:tcPr>
            <w:tcW w:w="2000"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Rate</w:t>
            </w:r>
          </w:p>
        </w:tc>
        <w:tc>
          <w:tcPr>
            <w:tcW w:w="5000"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Income bracket</w:t>
            </w:r>
          </w:p>
        </w:tc>
      </w:tr>
      <w:tr>
        <w:trPr>
          <w:cantSplit w:val="true"/>
        </w:trPr>
        <w:tc>
          <w:tcPr>
            <w:tcW w:w="2000"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i w:val="false"/>
                <w:color w:val="000000"/>
                <w:sz w:val="22"/>
              </w:rPr>
              <w:t>5%</w:t>
            </w:r>
          </w:p>
        </w:tc>
        <w:tc>
          <w:tcPr>
            <w:tcW w:w="5000" w:type="dxa"/>
            <w:tcBorders/>
            <w:tcMar>
              <w:top w:w="15" w:type="dxa"/>
              <w:left w:w="15" w:type="dxa"/>
              <w:bottom w:w="15" w:type="dxa"/>
              <w:right w:w="750" w:type="dxa"/>
            </w:tcMar>
            <w:vAlign w:val="top"/>
          </w:tcPr>
          <w:p>
            <w:pPr>
              <w:keepNext w:val="true"/>
              <w:keepLines w:val="true"/>
              <w:spacing w:after="0"/>
              <w:ind w:left="0"/>
              <w:jc w:val="right"/>
            </w:pPr>
            <w:r>
              <w:rPr>
                <w:rFonts w:ascii="Courier New" w:hAnsi="Courier New"/>
                <w:b w:val="false"/>
                <w:i w:val="false"/>
                <w:color w:val="000000"/>
                <w:sz w:val="22"/>
              </w:rPr>
              <w:t>$-0- to $50,000</w:t>
            </w:r>
          </w:p>
        </w:tc>
      </w:tr>
      <w:tr>
        <w:trPr>
          <w:cantSplit w:val="true"/>
        </w:trPr>
        <w:tc>
          <w:tcPr>
            <w:tcW w:w="2000"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i w:val="false"/>
                <w:color w:val="000000"/>
                <w:sz w:val="22"/>
              </w:rPr>
              <w:t>+ 8%</w:t>
            </w:r>
          </w:p>
        </w:tc>
        <w:tc>
          <w:tcPr>
            <w:tcW w:w="5000" w:type="dxa"/>
            <w:tcBorders/>
            <w:tcMar>
              <w:top w:w="15" w:type="dxa"/>
              <w:left w:w="15" w:type="dxa"/>
              <w:bottom w:w="15" w:type="dxa"/>
              <w:right w:w="750" w:type="dxa"/>
            </w:tcMar>
            <w:vAlign w:val="top"/>
          </w:tcPr>
          <w:p>
            <w:pPr>
              <w:keepNext w:val="true"/>
              <w:keepLines w:val="true"/>
              <w:spacing w:after="0"/>
              <w:ind w:left="0"/>
              <w:jc w:val="right"/>
            </w:pPr>
            <w:r>
              <w:rPr>
                <w:rFonts w:ascii="Courier New" w:hAnsi="Courier New"/>
                <w:b w:val="false"/>
                <w:i w:val="false"/>
                <w:color w:val="000000"/>
                <w:sz w:val="22"/>
              </w:rPr>
              <w:t>$50,001 to $200,000</w:t>
            </w:r>
          </w:p>
        </w:tc>
      </w:tr>
      <w:tr>
        <w:trPr>
          <w:cantSplit w:val="true"/>
        </w:trPr>
        <w:tc>
          <w:tcPr>
            <w:tcW w:w="2000"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i w:val="false"/>
                <w:color w:val="000000"/>
                <w:sz w:val="22"/>
              </w:rPr>
              <w:t>+ 12%</w:t>
            </w:r>
          </w:p>
        </w:tc>
        <w:tc>
          <w:tcPr>
            <w:tcW w:w="5000" w:type="dxa"/>
            <w:tcBorders/>
            <w:tcMar>
              <w:top w:w="15" w:type="dxa"/>
              <w:left w:w="15" w:type="dxa"/>
              <w:bottom w:w="15" w:type="dxa"/>
              <w:right w:w="750" w:type="dxa"/>
            </w:tcMar>
            <w:vAlign w:val="top"/>
          </w:tcPr>
          <w:p>
            <w:pPr>
              <w:keepNext w:val="true"/>
              <w:keepLines w:val="true"/>
              <w:spacing w:after="0"/>
              <w:ind w:left="0"/>
              <w:jc w:val="right"/>
            </w:pPr>
            <w:r>
              <w:rPr>
                <w:rFonts w:ascii="Courier New" w:hAnsi="Courier New"/>
                <w:b w:val="false"/>
                <w:i w:val="false"/>
                <w:color w:val="000000"/>
                <w:sz w:val="22"/>
              </w:rPr>
              <w:t>$200,001 and above</w:t>
            </w:r>
          </w:p>
        </w:tc>
      </w:tr>
    </w:tbl>
    <w:p>
      <w:pPr>
        <w:keepNext w:val="true"/>
        <w:keepLines w:val="true"/>
        <w:spacing w:after="0"/>
        <w:ind w:left="360"/>
        <w:jc w:val="left"/>
      </w:pPr>
      <w:r>
        <w:rPr>
          <w:rFonts w:ascii="Times New Roman"/>
          <w:b w:val="false"/>
          <w:i w:val="false"/>
          <w:color w:val="000000"/>
          <w:sz w:val="24"/>
        </w:rPr>
        <w:t xml:space="preserve">Which of the following statements is </w:t>
      </w:r>
      <w:r>
        <w:rPr>
          <w:rFonts w:ascii="Times New Roman"/>
          <w:b/>
          <w:i w:val="false"/>
          <w:color w:val="000000"/>
          <w:sz w:val="24"/>
        </w:rPr>
        <w:t>true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If Mrs. Hall's taxable income is $227,000, the average tax rate is 12%.</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If Mr. Poe's taxable income is $41,200, the marginal tax rate is 8%.</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If Ms. Kaye's taxable income is $63,800, the marginal tax rate is 8%.</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None of the choices are correct.</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Jurisdiction M imposes an individual income tax based on the following schedule.</w:t>
      </w:r>
      <w:r>
        <w:rPr>
          <w:rFonts w:ascii="Times New Roman"/>
          <w:sz w:val="24"/>
        </w:rPr>
      </w:r>
    </w:p>
    <w:tbl>
      <w:tblPr>
        <w:jc w:val="left"/>
        <w:tblInd w:w="360" w:type="dxa"/>
        <w:tblLayout w:type="autofit"/>
      </w:tblPr>
      <w:tr>
        <w:trPr>
          <w:cantSplit w:val="true"/>
        </w:trPr>
        <w:tc>
          <w:tcPr>
            <w:tcW w:w="2000"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Rate</w:t>
            </w:r>
          </w:p>
        </w:tc>
        <w:tc>
          <w:tcPr>
            <w:tcW w:w="5000"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Income bracket</w:t>
            </w:r>
          </w:p>
        </w:tc>
      </w:tr>
      <w:tr>
        <w:trPr>
          <w:cantSplit w:val="true"/>
        </w:trPr>
        <w:tc>
          <w:tcPr>
            <w:tcW w:w="2000"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i w:val="false"/>
                <w:color w:val="000000"/>
                <w:sz w:val="22"/>
              </w:rPr>
              <w:t>5%</w:t>
            </w:r>
          </w:p>
        </w:tc>
        <w:tc>
          <w:tcPr>
            <w:tcW w:w="5000" w:type="dxa"/>
            <w:tcBorders/>
            <w:tcMar>
              <w:top w:w="15" w:type="dxa"/>
              <w:left w:w="15" w:type="dxa"/>
              <w:bottom w:w="15" w:type="dxa"/>
              <w:right w:w="750" w:type="dxa"/>
            </w:tcMar>
            <w:vAlign w:val="top"/>
          </w:tcPr>
          <w:p>
            <w:pPr>
              <w:keepNext w:val="true"/>
              <w:keepLines w:val="true"/>
              <w:spacing w:after="0"/>
              <w:ind w:left="0"/>
              <w:jc w:val="right"/>
            </w:pPr>
            <w:r>
              <w:rPr>
                <w:rFonts w:ascii="Courier New" w:hAnsi="Courier New"/>
                <w:b w:val="false"/>
                <w:i w:val="false"/>
                <w:color w:val="000000"/>
                <w:sz w:val="22"/>
              </w:rPr>
              <w:t>$-0- to $50,000</w:t>
            </w:r>
          </w:p>
        </w:tc>
      </w:tr>
      <w:tr>
        <w:trPr>
          <w:cantSplit w:val="true"/>
        </w:trPr>
        <w:tc>
          <w:tcPr>
            <w:tcW w:w="2000"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i w:val="false"/>
                <w:color w:val="000000"/>
                <w:sz w:val="22"/>
              </w:rPr>
              <w:t>+ 8%</w:t>
            </w:r>
          </w:p>
        </w:tc>
        <w:tc>
          <w:tcPr>
            <w:tcW w:w="5000" w:type="dxa"/>
            <w:tcBorders/>
            <w:tcMar>
              <w:top w:w="15" w:type="dxa"/>
              <w:left w:w="15" w:type="dxa"/>
              <w:bottom w:w="15" w:type="dxa"/>
              <w:right w:w="750" w:type="dxa"/>
            </w:tcMar>
            <w:vAlign w:val="top"/>
          </w:tcPr>
          <w:p>
            <w:pPr>
              <w:keepNext w:val="true"/>
              <w:keepLines w:val="true"/>
              <w:spacing w:after="0"/>
              <w:ind w:left="0"/>
              <w:jc w:val="right"/>
            </w:pPr>
            <w:r>
              <w:rPr>
                <w:rFonts w:ascii="Courier New" w:hAnsi="Courier New"/>
                <w:b w:val="false"/>
                <w:i w:val="false"/>
                <w:color w:val="000000"/>
                <w:sz w:val="22"/>
              </w:rPr>
              <w:t>$50,001 to $200,000</w:t>
            </w:r>
          </w:p>
        </w:tc>
      </w:tr>
      <w:tr>
        <w:trPr>
          <w:cantSplit w:val="true"/>
        </w:trPr>
        <w:tc>
          <w:tcPr>
            <w:tcW w:w="2000"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i w:val="false"/>
                <w:color w:val="000000"/>
                <w:sz w:val="22"/>
              </w:rPr>
              <w:t>+ 12%</w:t>
            </w:r>
          </w:p>
        </w:tc>
        <w:tc>
          <w:tcPr>
            <w:tcW w:w="5000" w:type="dxa"/>
            <w:tcBorders/>
            <w:tcMar>
              <w:top w:w="15" w:type="dxa"/>
              <w:left w:w="15" w:type="dxa"/>
              <w:bottom w:w="15" w:type="dxa"/>
              <w:right w:w="750" w:type="dxa"/>
            </w:tcMar>
            <w:vAlign w:val="top"/>
          </w:tcPr>
          <w:p>
            <w:pPr>
              <w:keepNext w:val="true"/>
              <w:keepLines w:val="true"/>
              <w:spacing w:after="0"/>
              <w:ind w:left="0"/>
              <w:jc w:val="right"/>
            </w:pPr>
            <w:r>
              <w:rPr>
                <w:rFonts w:ascii="Courier New" w:hAnsi="Courier New"/>
                <w:b w:val="false"/>
                <w:i w:val="false"/>
                <w:color w:val="000000"/>
                <w:sz w:val="22"/>
              </w:rPr>
              <w:t>$200,001 and above</w:t>
            </w:r>
          </w:p>
        </w:tc>
      </w:tr>
    </w:tbl>
    <w:p>
      <w:pPr>
        <w:keepNext w:val="true"/>
        <w:keepLines w:val="true"/>
        <w:spacing w:after="0"/>
        <w:ind w:left="360"/>
        <w:jc w:val="left"/>
      </w:pPr>
      <w:r>
        <w:rPr>
          <w:rFonts w:ascii="Times New Roman"/>
          <w:b w:val="false"/>
          <w:i w:val="false"/>
          <w:color w:val="000000"/>
          <w:sz w:val="24"/>
        </w:rPr>
        <w:t xml:space="preserve">Which of the following statements is </w:t>
      </w:r>
      <w:r>
        <w:rPr>
          <w:rFonts w:ascii="Times New Roman"/>
          <w:b/>
          <w:i w:val="false"/>
          <w:color w:val="000000"/>
          <w:sz w:val="24"/>
        </w:rPr>
        <w:t>false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If Ms. Lui's taxable income is $33,400, the average tax rate is 5%.</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If Mr. Bell's taxable income is $519,900, the marginal tax rate is 12%.</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If Ms. Vern's taxable income is $188,000, the average tax rate is 7.2%.</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None of the choices are false.</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Congress originally enacted the federal estate and gift taxes to improve: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Distributive justice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Economic efficiency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Vertical equity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Horizontal equity</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Which of the following tax policies would increase the redistribution of wealth across society?</w:t>
      </w:r>
    </w:p>
    <w:p>
      <w:pPr>
        <w:pStyle w:val="ListParagraph"/>
        <w:keepNext w:val="true"/>
        <w:keepLines w:val="true"/>
        <w:numPr>
          <w:ilvl w:val="7"/>
          <w:numId w:val="2"/>
        </w:numPr>
        <w:spacing w:after="0"/>
        <w:jc w:val="left"/>
      </w:pPr>
      <w:r>
        <w:rPr>
          <w:rFonts w:ascii="Times New Roman"/>
          <w:b w:val="false"/>
          <w:i w:val="false"/>
          <w:color w:val="000000"/>
          <w:sz w:val="24"/>
        </w:rPr>
        <w:t>Repealing the federal estate and gift taxes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Increasing the highest marginal income tax rate by 10%</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Replacing the progressive income tax rate structure with a flat rate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Replacing the income tax with a national sales tax</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 xml:space="preserve">Which of the following statements concerning the standard of fairness is </w:t>
      </w:r>
      <w:r>
        <w:rPr>
          <w:rFonts w:ascii="Times New Roman"/>
          <w:b/>
          <w:i w:val="false"/>
          <w:color w:val="000000"/>
          <w:sz w:val="24"/>
        </w:rPr>
        <w:t>false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People who believe that a tax is unfair are more likely to evade the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People believe that the federal income tax is unfair because it contains preferences available only to wealthy individuals.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public perception that the federal income tax is unfair has decreased in recent decades.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None of the choices are false.</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 xml:space="preserve">Assume that Congress plans to amend the federal income tax to provide a deduction for the first $2,400 of residential rent paid by families with incomes below the federal poverty level. Which of the following statements is </w:t>
      </w:r>
      <w:r>
        <w:rPr>
          <w:rFonts w:ascii="Times New Roman"/>
          <w:b/>
          <w:i w:val="false"/>
          <w:color w:val="000000"/>
          <w:sz w:val="24"/>
        </w:rPr>
        <w:t>true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amendment is intended to improve the efficiency of the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amendment is intended to improve the equity of the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amendment is intended to improve the simplicity of the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amendment is intended to improve the convenience of the tax.</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 xml:space="preserve">Assume that Congress plans to amend the federal individual income tax to eliminate the deductions for medical care, charitable contributions, and home mortgage interest. Which of the following statements is </w:t>
      </w:r>
      <w:r>
        <w:rPr>
          <w:rFonts w:ascii="Times New Roman"/>
          <w:b/>
          <w:i w:val="false"/>
          <w:color w:val="000000"/>
          <w:sz w:val="24"/>
        </w:rPr>
        <w:t>true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amendment will reduce the complexity of the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amendment will increase the horizontal equity of the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amendment will increase the neutrality of the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Both the amendment will reduce the complexity of the tax and will increase the neutrality of the tax.</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 xml:space="preserve">Assume that Congress plans to amend the federal income tax to provide a deduction for the cost of energy-efficient fluorescent light bulbs. Which of the following statements is </w:t>
      </w:r>
      <w:r>
        <w:rPr>
          <w:rFonts w:ascii="Times New Roman"/>
          <w:b/>
          <w:i w:val="false"/>
          <w:color w:val="000000"/>
          <w:sz w:val="24"/>
        </w:rPr>
        <w:t>true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amendment is intended to improve the efficiency of the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amendment is intended to improve the equity of the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amendment is intended to improve the simplicity of the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amendment is intended to improve the convenience of the tax.</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 xml:space="preserve">Congress recently amended the tax law to make it easier for individuals to file their income tax returns electronically (online). Which of the following statements is </w:t>
      </w:r>
      <w:r>
        <w:rPr>
          <w:rFonts w:ascii="Times New Roman"/>
          <w:b/>
          <w:i w:val="false"/>
          <w:color w:val="000000"/>
          <w:sz w:val="24"/>
        </w:rPr>
        <w:t>true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amendment is intended to improve the efficiency of the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amendment is intended to improve the equity of the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amendment is intended to improve the simplicity of the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amendment is intended to improve the convenience of the tax.</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Mr. and Mrs. Boln earn $63,000 annual income and pay 20% in state and federal income tax. If tax rates increase so that the couple's annual rate increases to 25%, how much additional income must they earn to maintain their after-tax standard of living?</w:t>
      </w:r>
      <w:r>
        <w:rPr>
          <w:rFonts w:ascii="Times New Roman"/>
          <w:sz w:val="24"/>
        </w:rPr>
      </w:r>
    </w:p>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Mr. Ohno owns and operates a part-time service business that generates $80,000 annual taxable income. Assume that the federal tax rate on this income is 17%. Because of recent legislation, this rate will increase to 25% next year.</w:t>
      </w:r>
      <w:r>
        <w:rPr>
          <w:rFonts w:ascii="Times New Roman"/>
          <w:sz w:val="24"/>
        </w:rPr>
      </w:r>
    </w:p>
    <w:p>
      <w:pPr>
        <w:pStyle w:val="ListParagraph"/>
        <w:keepNext w:val="true"/>
        <w:keepLines w:val="true"/>
        <w:numPr>
          <w:ilvl w:val="5"/>
          <w:numId w:val="2"/>
        </w:numPr>
        <w:spacing w:after="0"/>
        <w:jc w:val="left"/>
      </w:pPr>
      <w:r>
        <w:rPr>
          <w:rFonts w:ascii="Times New Roman"/>
          <w:sz w:val="24"/>
        </w:rPr>
        <w:t>Based on a static forecast, how much additional revenue will the federal government collect from Mr. Ohno next year?</w:t>
      </w:r>
    </w:p>
    <w:p>
      <w:pPr>
        <w:pStyle w:val="ListParagraph"/>
        <w:keepNext w:val="true"/>
        <w:keepLines w:val="true"/>
        <w:numPr>
          <w:ilvl w:val="5"/>
          <w:numId w:val="2"/>
        </w:numPr>
        <w:spacing w:after="0"/>
        <w:jc w:val="left"/>
      </w:pPr>
      <w:r>
        <w:rPr>
          <w:rFonts w:ascii="Times New Roman"/>
          <w:sz w:val="24"/>
        </w:rPr>
        <w:t>How much additional revenue will the federal government collect if Mr. Ohno decides to work fewer hours and consequently earns only $50,000 next year?</w:t>
      </w:r>
    </w:p>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City of Willford levies a flat 7% tax on individual income in excess of $55,000. Individuals who earn $55,000 or less pay no income tax.</w:t>
      </w:r>
      <w:r>
        <w:rPr>
          <w:rFonts w:ascii="Times New Roman"/>
          <w:sz w:val="24"/>
        </w:rPr>
      </w:r>
    </w:p>
    <w:p>
      <w:pPr>
        <w:pStyle w:val="ListParagraph"/>
        <w:keepNext w:val="true"/>
        <w:keepLines w:val="true"/>
        <w:numPr>
          <w:ilvl w:val="5"/>
          <w:numId w:val="2"/>
        </w:numPr>
        <w:spacing w:after="0"/>
        <w:jc w:val="left"/>
      </w:pPr>
      <w:r>
        <w:rPr>
          <w:rFonts w:ascii="Times New Roman"/>
          <w:sz w:val="24"/>
        </w:rPr>
        <w:t>Ms. Vello earned $127,200 income this year. Compute city income tax and determine average tax rate.</w:t>
      </w:r>
    </w:p>
    <w:p>
      <w:pPr>
        <w:pStyle w:val="ListParagraph"/>
        <w:keepNext w:val="true"/>
        <w:keepLines w:val="true"/>
        <w:numPr>
          <w:ilvl w:val="5"/>
          <w:numId w:val="2"/>
        </w:numPr>
        <w:spacing w:after="0"/>
        <w:jc w:val="left"/>
      </w:pPr>
      <w:r>
        <w:rPr>
          <w:rFonts w:ascii="Times New Roman"/>
          <w:sz w:val="24"/>
        </w:rPr>
        <w:t>Mr. Sui earned $68,900 income this year. Compute city income tax and determine his average tax rate.</w:t>
      </w:r>
    </w:p>
    <w:p>
      <w:pPr>
        <w:pStyle w:val="ListParagraph"/>
        <w:keepNext w:val="true"/>
        <w:keepLines w:val="true"/>
        <w:numPr>
          <w:ilvl w:val="5"/>
          <w:numId w:val="2"/>
        </w:numPr>
        <w:spacing w:after="0"/>
        <w:jc w:val="left"/>
      </w:pPr>
      <w:r>
        <w:rPr>
          <w:rFonts w:ascii="Times New Roman"/>
          <w:sz w:val="24"/>
        </w:rPr>
        <w:t>Does Willford have a proportionate, progressive, or regressive tax rate structure?</w:t>
      </w:r>
    </w:p>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country of Valhalla levies an income tax with the following rate structure.</w:t>
      </w:r>
      <w:r>
        <w:rPr>
          <w:rFonts w:ascii="Times New Roman"/>
          <w:sz w:val="24"/>
        </w:rPr>
      </w:r>
    </w:p>
    <w:tbl>
      <w:tblPr>
        <w:jc w:val="left"/>
        <w:tblInd w:w="360" w:type="dxa"/>
        <w:tblLayout w:type="autofit"/>
      </w:tblPr>
      <w:tr>
        <w:trPr>
          <w:cantSplit w:val="true"/>
        </w:trPr>
        <w:tc>
          <w:tcPr>
            <w:tcW w:w="2000"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Rate</w:t>
            </w:r>
          </w:p>
        </w:tc>
        <w:tc>
          <w:tcPr>
            <w:tcW w:w="5000"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Income bracket</w:t>
            </w:r>
          </w:p>
        </w:tc>
      </w:tr>
      <w:tr>
        <w:trPr>
          <w:cantSplit w:val="true"/>
        </w:trPr>
        <w:tc>
          <w:tcPr>
            <w:tcW w:w="2000"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i w:val="false"/>
                <w:color w:val="000000"/>
                <w:sz w:val="22"/>
              </w:rPr>
              <w:t>5%</w:t>
            </w:r>
          </w:p>
        </w:tc>
        <w:tc>
          <w:tcPr>
            <w:tcW w:w="5000" w:type="dxa"/>
            <w:tcBorders/>
            <w:tcMar>
              <w:top w:w="15" w:type="dxa"/>
              <w:left w:w="15" w:type="dxa"/>
              <w:bottom w:w="15" w:type="dxa"/>
              <w:right w:w="750" w:type="dxa"/>
            </w:tcMar>
            <w:vAlign w:val="top"/>
          </w:tcPr>
          <w:p>
            <w:pPr>
              <w:keepNext w:val="true"/>
              <w:keepLines w:val="true"/>
              <w:spacing w:after="0"/>
              <w:ind w:left="0"/>
              <w:jc w:val="right"/>
            </w:pPr>
            <w:r>
              <w:rPr>
                <w:rFonts w:ascii="Courier New" w:hAnsi="Courier New"/>
                <w:b w:val="false"/>
                <w:i w:val="false"/>
                <w:color w:val="000000"/>
                <w:sz w:val="22"/>
              </w:rPr>
              <w:t>$-0- to $50,000</w:t>
            </w:r>
          </w:p>
        </w:tc>
      </w:tr>
      <w:tr>
        <w:trPr>
          <w:cantSplit w:val="true"/>
        </w:trPr>
        <w:tc>
          <w:tcPr>
            <w:tcW w:w="2000"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i w:val="false"/>
                <w:color w:val="000000"/>
                <w:sz w:val="22"/>
              </w:rPr>
              <w:t>+ 10%</w:t>
            </w:r>
          </w:p>
        </w:tc>
        <w:tc>
          <w:tcPr>
            <w:tcW w:w="5000" w:type="dxa"/>
            <w:tcBorders/>
            <w:tcMar>
              <w:top w:w="15" w:type="dxa"/>
              <w:left w:w="15" w:type="dxa"/>
              <w:bottom w:w="15" w:type="dxa"/>
              <w:right w:w="750" w:type="dxa"/>
            </w:tcMar>
            <w:vAlign w:val="top"/>
          </w:tcPr>
          <w:p>
            <w:pPr>
              <w:keepNext w:val="true"/>
              <w:keepLines w:val="true"/>
              <w:spacing w:after="0"/>
              <w:ind w:left="0"/>
              <w:jc w:val="right"/>
            </w:pPr>
            <w:r>
              <w:rPr>
                <w:rFonts w:ascii="Courier New" w:hAnsi="Courier New"/>
                <w:b w:val="false"/>
                <w:i w:val="false"/>
                <w:color w:val="000000"/>
                <w:sz w:val="22"/>
              </w:rPr>
              <w:t>$50,001 to $150,000</w:t>
            </w:r>
          </w:p>
        </w:tc>
      </w:tr>
      <w:tr>
        <w:trPr>
          <w:cantSplit w:val="true"/>
        </w:trPr>
        <w:tc>
          <w:tcPr>
            <w:tcW w:w="2000"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i w:val="false"/>
                <w:color w:val="000000"/>
                <w:sz w:val="22"/>
              </w:rPr>
              <w:t>+ 20%</w:t>
            </w:r>
          </w:p>
        </w:tc>
        <w:tc>
          <w:tcPr>
            <w:tcW w:w="5000" w:type="dxa"/>
            <w:tcBorders/>
            <w:tcMar>
              <w:top w:w="15" w:type="dxa"/>
              <w:left w:w="15" w:type="dxa"/>
              <w:bottom w:w="15" w:type="dxa"/>
              <w:right w:w="750" w:type="dxa"/>
            </w:tcMar>
            <w:vAlign w:val="top"/>
          </w:tcPr>
          <w:p>
            <w:pPr>
              <w:keepNext w:val="true"/>
              <w:keepLines w:val="true"/>
              <w:spacing w:after="0"/>
              <w:ind w:left="0"/>
              <w:jc w:val="right"/>
            </w:pPr>
            <w:r>
              <w:rPr>
                <w:rFonts w:ascii="Courier New" w:hAnsi="Courier New"/>
                <w:b w:val="false"/>
                <w:i w:val="false"/>
                <w:color w:val="000000"/>
                <w:sz w:val="22"/>
              </w:rPr>
              <w:t>$150,001 and above</w:t>
            </w:r>
          </w:p>
        </w:tc>
      </w:tr>
    </w:tbl>
    <w:p>
      <w:pPr>
        <w:pStyle w:val="ListParagraph"/>
        <w:keepNext w:val="true"/>
        <w:keepLines w:val="true"/>
        <w:numPr>
          <w:ilvl w:val="5"/>
          <w:numId w:val="2"/>
        </w:numPr>
        <w:spacing w:after="0"/>
        <w:jc w:val="left"/>
      </w:pPr>
      <w:r>
        <w:rPr>
          <w:rFonts w:ascii="Times New Roman"/>
          <w:sz w:val="24"/>
        </w:rPr>
        <w:t>Mrs. Greene's annual income is $125,000. Compute the tax on this income, the average tax rate, and the marginal tax rate.</w:t>
      </w:r>
    </w:p>
    <w:p>
      <w:pPr>
        <w:pStyle w:val="ListParagraph"/>
        <w:keepNext w:val="true"/>
        <w:keepLines w:val="true"/>
        <w:numPr>
          <w:ilvl w:val="5"/>
          <w:numId w:val="2"/>
        </w:numPr>
        <w:spacing w:after="0"/>
        <w:jc w:val="left"/>
      </w:pPr>
      <w:r>
        <w:rPr>
          <w:rFonts w:ascii="Times New Roman"/>
          <w:sz w:val="24"/>
        </w:rPr>
        <w:t>Mr. Chen's annual income is $220,000. Compute the tax on this income, the average tax rate, and the marginal tax rate.</w:t>
      </w:r>
    </w:p>
    <w:p>
      <w:pPr>
        <w:pStyle w:val="ListParagraph"/>
        <w:keepNext w:val="true"/>
        <w:keepLines w:val="true"/>
        <w:numPr>
          <w:ilvl w:val="5"/>
          <w:numId w:val="2"/>
        </w:numPr>
        <w:spacing w:after="0"/>
        <w:jc w:val="left"/>
      </w:pPr>
      <w:r>
        <w:rPr>
          <w:rFonts w:ascii="Times New Roman"/>
          <w:sz w:val="24"/>
        </w:rPr>
        <w:t>Does Valhalla have a proportionate, progressive, or regressive tax rate structure?</w:t>
      </w:r>
    </w:p>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keepNext w:val="true"/>
        <w:keepLines w:val="true"/>
        <w:spacing w:after="0"/>
        <w:jc w:val="left"/>
      </w:pPr>
      <w:r>
        <w:rPr>
          <w:rFonts w:ascii="Times New Roman"/>
          <w:b/>
          <w:sz w:val="36"/>
        </w:rPr>
        <w:br w:type="page"/>
        <w:t>Answer Key</w:t>
        <w:br/>
      </w:r>
      <w:r>
        <w:rPr>
          <w:rFonts w:ascii="Times New Roman"/>
          <w:sz w:val="32"/>
        </w:rPr>
        <w:t>Test name: Chapter 02 Test Bank - Static</w:t>
        <w:br/>
      </w:r>
    </w:p>
    <w:p>
      <w:pPr>
        <w:pStyle w:val="ListParagraph"/>
        <w:keepNext w:val="false"/>
        <w:keepLines w:val="true"/>
        <w:numPr>
          <w:ilvl w:val="5"/>
          <w:numId w:val="1"/>
        </w:numPr>
        <w:spacing w:after="0"/>
        <w:jc w:val="left"/>
      </w:pPr>
      <w:r>
        <w:rPr>
          <w:rFonts w:ascii="Times New Roman"/>
          <w:sz w:val="24"/>
        </w:rPr>
        <w:t>FALSE</w:t>
      </w:r>
    </w:p>
    <w:p>
      <w:pPr>
        <w:pStyle w:val="ListParagraph"/>
        <w:keepNext w:val="false"/>
        <w:keepLines w:val="true"/>
        <w:numPr>
          <w:ilvl w:val="5"/>
          <w:numId w:val="1"/>
        </w:numPr>
        <w:spacing w:after="0"/>
        <w:jc w:val="left"/>
      </w:pPr>
      <w:r>
        <w:rPr>
          <w:rFonts w:ascii="Times New Roman"/>
          <w:sz w:val="24"/>
        </w:rPr>
        <w:t>FALSE</w:t>
      </w:r>
    </w:p>
    <w:p>
      <w:pPr>
        <w:pStyle w:val="ListParagraph"/>
        <w:keepNext w:val="false"/>
        <w:keepLines w:val="true"/>
        <w:numPr>
          <w:ilvl w:val="5"/>
          <w:numId w:val="1"/>
        </w:numPr>
        <w:spacing w:after="0"/>
        <w:jc w:val="left"/>
      </w:pPr>
      <w:r>
        <w:rPr>
          <w:rFonts w:ascii="Times New Roman"/>
          <w:sz w:val="24"/>
        </w:rPr>
        <w:t>TRUE</w:t>
      </w:r>
    </w:p>
    <w:p>
      <w:pPr>
        <w:pStyle w:val="ListParagraph"/>
        <w:keepNext w:val="false"/>
        <w:keepLines w:val="true"/>
        <w:numPr>
          <w:ilvl w:val="5"/>
          <w:numId w:val="1"/>
        </w:numPr>
        <w:spacing w:after="0"/>
        <w:jc w:val="left"/>
      </w:pPr>
      <w:r>
        <w:rPr>
          <w:rFonts w:ascii="Times New Roman"/>
          <w:sz w:val="24"/>
        </w:rPr>
        <w:t>FALSE</w:t>
      </w:r>
    </w:p>
    <w:p>
      <w:pPr>
        <w:pStyle w:val="ListParagraph"/>
        <w:keepNext w:val="false"/>
        <w:keepLines w:val="true"/>
        <w:numPr>
          <w:ilvl w:val="5"/>
          <w:numId w:val="1"/>
        </w:numPr>
        <w:spacing w:after="0"/>
        <w:jc w:val="left"/>
      </w:pPr>
      <w:r>
        <w:rPr>
          <w:rFonts w:ascii="Times New Roman"/>
          <w:sz w:val="24"/>
        </w:rPr>
        <w:t>FALSE</w:t>
      </w:r>
    </w:p>
    <w:p>
      <w:pPr>
        <w:pStyle w:val="ListParagraph"/>
        <w:keepNext w:val="false"/>
        <w:keepLines w:val="true"/>
        <w:numPr>
          <w:ilvl w:val="5"/>
          <w:numId w:val="1"/>
        </w:numPr>
        <w:spacing w:after="0"/>
        <w:jc w:val="left"/>
      </w:pPr>
      <w:r>
        <w:rPr>
          <w:rFonts w:ascii="Times New Roman"/>
          <w:sz w:val="24"/>
        </w:rPr>
        <w:t>FALSE</w:t>
      </w:r>
    </w:p>
    <w:p>
      <w:pPr>
        <w:pStyle w:val="ListParagraph"/>
        <w:keepNext w:val="false"/>
        <w:keepLines w:val="true"/>
        <w:numPr>
          <w:ilvl w:val="5"/>
          <w:numId w:val="1"/>
        </w:numPr>
        <w:spacing w:after="0"/>
        <w:jc w:val="left"/>
      </w:pPr>
      <w:r>
        <w:rPr>
          <w:rFonts w:ascii="Times New Roman"/>
          <w:sz w:val="24"/>
        </w:rPr>
        <w:t>TRUE</w:t>
      </w:r>
    </w:p>
    <w:p>
      <w:pPr>
        <w:pStyle w:val="ListParagraph"/>
        <w:keepNext w:val="false"/>
        <w:keepLines w:val="true"/>
        <w:numPr>
          <w:ilvl w:val="5"/>
          <w:numId w:val="1"/>
        </w:numPr>
        <w:spacing w:after="0"/>
        <w:jc w:val="left"/>
      </w:pPr>
      <w:r>
        <w:rPr>
          <w:rFonts w:ascii="Times New Roman"/>
          <w:sz w:val="24"/>
        </w:rPr>
        <w:t>TRUE</w:t>
      </w:r>
    </w:p>
    <w:p>
      <w:pPr>
        <w:pStyle w:val="ListParagraph"/>
        <w:keepNext w:val="false"/>
        <w:keepLines w:val="true"/>
        <w:numPr>
          <w:ilvl w:val="5"/>
          <w:numId w:val="1"/>
        </w:numPr>
        <w:spacing w:after="0"/>
        <w:jc w:val="left"/>
      </w:pPr>
      <w:r>
        <w:rPr>
          <w:rFonts w:ascii="Times New Roman"/>
          <w:sz w:val="24"/>
        </w:rPr>
        <w:t>TRUE</w:t>
      </w:r>
    </w:p>
    <w:p>
      <w:pPr>
        <w:pStyle w:val="ListParagraph"/>
        <w:keepNext w:val="false"/>
        <w:keepLines w:val="true"/>
        <w:numPr>
          <w:ilvl w:val="5"/>
          <w:numId w:val="1"/>
        </w:numPr>
        <w:spacing w:after="0"/>
        <w:jc w:val="left"/>
      </w:pPr>
      <w:r>
        <w:rPr>
          <w:rFonts w:ascii="Times New Roman"/>
          <w:sz w:val="24"/>
        </w:rPr>
        <w:t>FALSE</w:t>
      </w:r>
    </w:p>
    <w:p>
      <w:pPr>
        <w:pStyle w:val="ListParagraph"/>
        <w:keepNext w:val="false"/>
        <w:keepLines w:val="true"/>
        <w:numPr>
          <w:ilvl w:val="5"/>
          <w:numId w:val="1"/>
        </w:numPr>
        <w:spacing w:after="0"/>
        <w:jc w:val="left"/>
      </w:pPr>
      <w:r>
        <w:rPr>
          <w:rFonts w:ascii="Times New Roman"/>
          <w:sz w:val="24"/>
        </w:rPr>
        <w:t>FALSE</w:t>
      </w:r>
    </w:p>
    <w:p>
      <w:pPr>
        <w:pStyle w:val="ListParagraph"/>
        <w:keepNext w:val="false"/>
        <w:keepLines w:val="true"/>
        <w:numPr>
          <w:ilvl w:val="5"/>
          <w:numId w:val="1"/>
        </w:numPr>
        <w:spacing w:after="0"/>
        <w:jc w:val="left"/>
      </w:pPr>
      <w:r>
        <w:rPr>
          <w:rFonts w:ascii="Times New Roman"/>
          <w:sz w:val="24"/>
        </w:rPr>
        <w:t>FALSE</w:t>
      </w:r>
    </w:p>
    <w:p>
      <w:pPr>
        <w:pStyle w:val="ListParagraph"/>
        <w:keepNext w:val="false"/>
        <w:keepLines w:val="true"/>
        <w:numPr>
          <w:ilvl w:val="5"/>
          <w:numId w:val="1"/>
        </w:numPr>
        <w:spacing w:after="0"/>
        <w:jc w:val="left"/>
      </w:pPr>
      <w:r>
        <w:rPr>
          <w:rFonts w:ascii="Times New Roman"/>
          <w:sz w:val="24"/>
        </w:rPr>
        <w:t>TRUE</w:t>
      </w:r>
    </w:p>
    <w:p>
      <w:pPr>
        <w:pStyle w:val="ListParagraph"/>
        <w:keepNext w:val="false"/>
        <w:keepLines w:val="true"/>
        <w:numPr>
          <w:ilvl w:val="5"/>
          <w:numId w:val="1"/>
        </w:numPr>
        <w:spacing w:after="0"/>
        <w:jc w:val="left"/>
      </w:pPr>
      <w:r>
        <w:rPr>
          <w:rFonts w:ascii="Times New Roman"/>
          <w:sz w:val="24"/>
        </w:rPr>
        <w:t>TRUE</w:t>
      </w:r>
    </w:p>
    <w:p>
      <w:pPr>
        <w:pStyle w:val="ListParagraph"/>
        <w:keepNext w:val="false"/>
        <w:keepLines w:val="true"/>
        <w:numPr>
          <w:ilvl w:val="5"/>
          <w:numId w:val="1"/>
        </w:numPr>
        <w:spacing w:after="0"/>
        <w:jc w:val="left"/>
      </w:pPr>
      <w:r>
        <w:rPr>
          <w:rFonts w:ascii="Times New Roman"/>
          <w:sz w:val="24"/>
        </w:rPr>
        <w:t>FALSE</w:t>
      </w:r>
    </w:p>
    <w:p>
      <w:pPr>
        <w:pStyle w:val="ListParagraph"/>
        <w:keepNext w:val="false"/>
        <w:keepLines w:val="true"/>
        <w:numPr>
          <w:ilvl w:val="5"/>
          <w:numId w:val="1"/>
        </w:numPr>
        <w:spacing w:after="0"/>
        <w:jc w:val="left"/>
      </w:pPr>
      <w:r>
        <w:rPr>
          <w:rFonts w:ascii="Times New Roman"/>
          <w:sz w:val="24"/>
        </w:rPr>
        <w:t>FALSE</w:t>
      </w:r>
    </w:p>
    <w:p>
      <w:pPr>
        <w:pStyle w:val="ListParagraph"/>
        <w:keepNext w:val="false"/>
        <w:keepLines w:val="true"/>
        <w:numPr>
          <w:ilvl w:val="5"/>
          <w:numId w:val="1"/>
        </w:numPr>
        <w:spacing w:after="0"/>
        <w:jc w:val="left"/>
      </w:pPr>
      <w:r>
        <w:rPr>
          <w:rFonts w:ascii="Times New Roman"/>
          <w:sz w:val="24"/>
        </w:rPr>
        <w:t>TRUE</w:t>
      </w:r>
    </w:p>
    <w:p>
      <w:pPr>
        <w:pStyle w:val="ListParagraph"/>
        <w:keepNext w:val="false"/>
        <w:keepLines w:val="true"/>
        <w:numPr>
          <w:ilvl w:val="5"/>
          <w:numId w:val="1"/>
        </w:numPr>
        <w:spacing w:after="0"/>
        <w:jc w:val="left"/>
      </w:pPr>
      <w:r>
        <w:rPr>
          <w:rFonts w:ascii="Times New Roman"/>
          <w:sz w:val="24"/>
        </w:rPr>
        <w:t>FALSE</w:t>
      </w:r>
    </w:p>
    <w:p>
      <w:pPr>
        <w:pStyle w:val="ListParagraph"/>
        <w:keepNext w:val="false"/>
        <w:keepLines w:val="true"/>
        <w:numPr>
          <w:ilvl w:val="5"/>
          <w:numId w:val="1"/>
        </w:numPr>
        <w:spacing w:after="0"/>
        <w:jc w:val="left"/>
      </w:pPr>
      <w:r>
        <w:rPr>
          <w:rFonts w:ascii="Times New Roman"/>
          <w:sz w:val="24"/>
        </w:rPr>
        <w:t>FALSE</w:t>
      </w:r>
    </w:p>
    <w:p>
      <w:pPr>
        <w:pStyle w:val="ListParagraph"/>
        <w:keepNext w:val="false"/>
        <w:keepLines w:val="true"/>
        <w:numPr>
          <w:ilvl w:val="5"/>
          <w:numId w:val="1"/>
        </w:numPr>
        <w:spacing w:after="0"/>
        <w:jc w:val="left"/>
      </w:pPr>
      <w:r>
        <w:rPr>
          <w:rFonts w:ascii="Times New Roman"/>
          <w:sz w:val="24"/>
        </w:rPr>
        <w:t>FALSE</w:t>
      </w:r>
    </w:p>
    <w:p>
      <w:pPr>
        <w:pStyle w:val="ListParagraph"/>
        <w:keepNext w:val="false"/>
        <w:keepLines w:val="true"/>
        <w:numPr>
          <w:ilvl w:val="5"/>
          <w:numId w:val="1"/>
        </w:numPr>
        <w:spacing w:after="0"/>
        <w:jc w:val="left"/>
      </w:pPr>
      <w:r>
        <w:rPr>
          <w:rFonts w:ascii="Times New Roman"/>
          <w:sz w:val="24"/>
        </w:rPr>
        <w:t>TRUE</w:t>
      </w:r>
    </w:p>
    <w:p>
      <w:pPr>
        <w:pStyle w:val="ListParagraph"/>
        <w:keepNext w:val="false"/>
        <w:keepLines w:val="true"/>
        <w:numPr>
          <w:ilvl w:val="5"/>
          <w:numId w:val="1"/>
        </w:numPr>
        <w:spacing w:after="0"/>
        <w:jc w:val="left"/>
      </w:pPr>
      <w:r>
        <w:rPr>
          <w:rFonts w:ascii="Times New Roman"/>
          <w:sz w:val="24"/>
        </w:rPr>
        <w:t>TRUE</w:t>
      </w:r>
    </w:p>
    <w:p>
      <w:pPr>
        <w:pStyle w:val="ListParagraph"/>
        <w:keepNext w:val="false"/>
        <w:keepLines w:val="true"/>
        <w:numPr>
          <w:ilvl w:val="5"/>
          <w:numId w:val="1"/>
        </w:numPr>
        <w:spacing w:after="0"/>
        <w:jc w:val="left"/>
      </w:pPr>
      <w:r>
        <w:rPr>
          <w:rFonts w:ascii="Times New Roman"/>
          <w:sz w:val="24"/>
        </w:rPr>
        <w:t>TRUE</w:t>
      </w:r>
    </w:p>
    <w:p>
      <w:pPr>
        <w:pStyle w:val="ListParagraph"/>
        <w:keepNext w:val="false"/>
        <w:keepLines w:val="true"/>
        <w:numPr>
          <w:ilvl w:val="5"/>
          <w:numId w:val="1"/>
        </w:numPr>
        <w:spacing w:after="0"/>
        <w:jc w:val="left"/>
      </w:pPr>
      <w:r>
        <w:rPr>
          <w:rFonts w:ascii="Times New Roman"/>
          <w:sz w:val="24"/>
        </w:rPr>
        <w:t>FALSE</w:t>
      </w:r>
    </w:p>
    <w:p>
      <w:pPr>
        <w:pStyle w:val="ListParagraph"/>
        <w:keepNext w:val="false"/>
        <w:keepLines w:val="true"/>
        <w:numPr>
          <w:ilvl w:val="5"/>
          <w:numId w:val="1"/>
        </w:numPr>
        <w:spacing w:after="0"/>
        <w:jc w:val="left"/>
      </w:pPr>
      <w:r>
        <w:rPr>
          <w:rFonts w:ascii="Times New Roman"/>
          <w:sz w:val="24"/>
        </w:rPr>
        <w:t>FALSE</w:t>
      </w:r>
    </w:p>
    <w:p>
      <w:pPr>
        <w:pStyle w:val="ListParagraph"/>
        <w:keepNext w:val="false"/>
        <w:keepLines w:val="true"/>
        <w:numPr>
          <w:ilvl w:val="5"/>
          <w:numId w:val="1"/>
        </w:numPr>
        <w:spacing w:after="0"/>
        <w:jc w:val="left"/>
      </w:pPr>
      <w:r>
        <w:rPr>
          <w:rFonts w:ascii="Times New Roman"/>
          <w:sz w:val="24"/>
        </w:rPr>
        <w:t>TRUE</w:t>
      </w:r>
    </w:p>
    <w:p>
      <w:pPr>
        <w:pStyle w:val="ListParagraph"/>
        <w:keepNext w:val="false"/>
        <w:keepLines w:val="true"/>
        <w:numPr>
          <w:ilvl w:val="5"/>
          <w:numId w:val="1"/>
        </w:numPr>
        <w:spacing w:after="0"/>
        <w:jc w:val="left"/>
      </w:pPr>
      <w:r>
        <w:rPr>
          <w:rFonts w:ascii="Times New Roman"/>
          <w:sz w:val="24"/>
        </w:rPr>
        <w:t>FALSE</w:t>
      </w:r>
    </w:p>
    <w:p>
      <w:pPr>
        <w:pStyle w:val="ListParagraph"/>
        <w:keepNext w:val="false"/>
        <w:keepLines w:val="true"/>
        <w:numPr>
          <w:ilvl w:val="5"/>
          <w:numId w:val="1"/>
        </w:numPr>
        <w:spacing w:after="0"/>
        <w:jc w:val="left"/>
      </w:pPr>
      <w:r>
        <w:rPr>
          <w:rFonts w:ascii="Times New Roman"/>
          <w:sz w:val="24"/>
        </w:rPr>
        <w:t>TRUE</w:t>
      </w:r>
    </w:p>
    <w:p>
      <w:pPr>
        <w:pStyle w:val="ListParagraph"/>
        <w:keepNext w:val="false"/>
        <w:keepLines w:val="true"/>
        <w:numPr>
          <w:ilvl w:val="5"/>
          <w:numId w:val="1"/>
        </w:numPr>
        <w:spacing w:after="0"/>
        <w:jc w:val="left"/>
      </w:pPr>
      <w:r>
        <w:rPr>
          <w:rFonts w:ascii="Times New Roman"/>
          <w:sz w:val="24"/>
        </w:rPr>
        <w:t>TRUE</w:t>
      </w:r>
    </w:p>
    <w:p>
      <w:pPr>
        <w:pStyle w:val="ListParagraph"/>
        <w:keepNext w:val="false"/>
        <w:keepLines w:val="true"/>
        <w:numPr>
          <w:ilvl w:val="5"/>
          <w:numId w:val="1"/>
        </w:numPr>
        <w:spacing w:after="0"/>
        <w:jc w:val="left"/>
      </w:pPr>
      <w:r>
        <w:rPr>
          <w:rFonts w:ascii="Times New Roman"/>
          <w:sz w:val="24"/>
        </w:rPr>
        <w:t>TRUE</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C</w:t>
      </w: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C</w:t>
      </w: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C</w:t>
      </w:r>
    </w:p>
    <w:p>
      <w:pPr>
        <w:pStyle w:val="ListParagraph"/>
        <w:keepNext w:val="false"/>
        <w:keepLines w:val="true"/>
        <w:numPr>
          <w:ilvl w:val="5"/>
          <w:numId w:val="1"/>
        </w:numPr>
        <w:spacing w:after="0"/>
        <w:jc w:val="left"/>
      </w:pPr>
      <w:r>
        <w:rPr>
          <w:rFonts w:ascii="Times New Roman"/>
          <w:sz w:val="24"/>
        </w:rPr>
        <w:t>C</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C</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C</w:t>
      </w: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C</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C</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C</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C</w:t>
      </w: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Essay</w:t>
      </w:r>
    </w:p>
    <w:p>
      <w:pPr>
        <w:pStyle w:val="ListParagraph"/>
        <w:keepNext w:val="false"/>
        <w:keepLines w:val="true"/>
        <w:numPr>
          <w:ilvl w:val="5"/>
          <w:numId w:val="1"/>
        </w:numPr>
        <w:spacing w:after="0"/>
        <w:jc w:val="left"/>
      </w:pPr>
      <w:r>
        <w:rPr>
          <w:rFonts w:ascii="Times New Roman"/>
          <w:sz w:val="24"/>
        </w:rPr>
        <w:t>Essay</w:t>
      </w:r>
    </w:p>
    <w:p>
      <w:pPr>
        <w:pStyle w:val="ListParagraph"/>
        <w:keepNext w:val="false"/>
        <w:keepLines w:val="true"/>
        <w:numPr>
          <w:ilvl w:val="5"/>
          <w:numId w:val="1"/>
        </w:numPr>
        <w:spacing w:after="0"/>
        <w:jc w:val="left"/>
      </w:pPr>
      <w:r>
        <w:rPr>
          <w:rFonts w:ascii="Times New Roman"/>
          <w:sz w:val="24"/>
        </w:rPr>
        <w:t>Essay</w:t>
      </w:r>
    </w:p>
    <w:p>
      <w:pPr>
        <w:pStyle w:val="ListParagraph"/>
        <w:keepNext w:val="false"/>
        <w:keepLines w:val="true"/>
        <w:numPr>
          <w:ilvl w:val="5"/>
          <w:numId w:val="1"/>
        </w:numPr>
        <w:spacing w:after="0"/>
        <w:jc w:val="left"/>
      </w:pPr>
      <w:r>
        <w:rPr>
          <w:rFonts w:ascii="Times New Roman"/>
          <w:sz w:val="24"/>
        </w:rPr>
        <w:t>Essay</w:t>
      </w:r>
    </w:p>
    <w:sectPr>
      <w:footerReference w:type="default" r:id="rId3"/>
      <w:type w:val="continuous"/>
      <w:pgMar w:top="1440" w:right="1440" w:bottom="1440" w:left="1440"/>
      <w:cols w:space="720"/>
    </w:sectPr>
  </w:body>
</w:document>
</file>

<file path=word/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p>
    <w:pPr>
      <w:spacing w:before="0" w:after="0"/>
      <w:jc w:val="left"/>
    </w:pPr>
    <w:rPr>
      <w:noProof/>
    </w:rPr>
    <w:r>
      <w:rPr>
        <w:rFonts w:ascii="Calibri"/>
        <w:sz w:val="24"/>
      </w:rPr>
      <w:t>Version 1</w:t>
      <w:tab/>
      <w:tab/>
      <w:tab/>
      <w:tab/>
      <w:tab/>
      <w:tab/>
      <w:tab/>
      <w:tab/>
      <w:tab/>
      <w:tab/>
      <w:tab/>
    </w:r>
    <w:r>
      <w:rPr>
        <w:rFonts w:ascii="Times New Roman"/>
        <w:sz w:val="24"/>
      </w:rPr>
    </w:r>
    <w:fldSimple w:instr=" PAGE \* MERGEFORMAT ">
      <w:r>
        <w:rPr>
          <w:rFonts w:ascii="Times New Roman"/>
          <w:sz w:val="24"/>
        </w:rPr>
      </w:r>
    </w:fldSimple>
  </w:p>
</w:ftr>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2">
    <w:nsid w:val="1ac290bf"/>
    <w:multiLevelType w:val="multilevel"/>
    <w:lvl w:ilvl="0">
      <w:start w:val="1"/>
      <w:numFmt w:val="decimal"/>
      <w:lvlText w:val="%1)"/>
      <w:lvlJc w:val="left"/>
      <w:pPr>
        <w:ind w:left="360" w:hanging="360"/>
      </w:pPr>
    </w:lvl>
    <w:lvl w:ilvl="1">
      <w:start w:val="1"/>
      <w:numFmt w:val="decimal"/>
      <w:lvlText w:val="%1)"/>
      <w:lvlJc w:val="left"/>
      <w:pPr>
        <w:ind w:left="8280" w:hanging="360"/>
      </w:pPr>
    </w:lvl>
    <w:lvl w:ilvl="2">
      <w:start w:val="1"/>
      <w:numFmt w:val="decimal"/>
      <w:lvlText w:val="%1.%3)"/>
      <w:lvlJc w:val="left"/>
      <w:pPr>
        <w:ind w:left="360" w:hanging="360"/>
      </w:pPr>
    </w:lvl>
    <w:lvl w:ilvl="3">
      <w:start w:val="1"/>
      <w:numFmt w:val="decimal"/>
      <w:lvlText w:val="%1.%3)"/>
      <w:lvlJc w:val="left"/>
      <w:pPr>
        <w:ind w:left="8280" w:hanging="360"/>
      </w:pPr>
    </w:lvl>
    <w:lvl w:ilvl="4">
      <w:start w:val="1"/>
      <w:numFmt w:val="lowerLetter"/>
      <w:lvlText w:val="%5."/>
      <w:lvlJc w:val="left"/>
      <w:pPr>
        <w:ind w:left="720" w:hanging="360"/>
      </w:pPr>
    </w:lvl>
    <w:lvl w:ilvl="5">
      <w:start w:val="1"/>
      <w:numFmt w:val="upperLetter"/>
      <w:lvlText w:val="%6."/>
      <w:lvlJc w:val="left"/>
      <w:pPr>
        <w:ind w:left="720" w:hanging="360"/>
      </w:pPr>
    </w:lvl>
    <w:lvl w:ilvl="6">
      <w:start w:val="1"/>
      <w:numFmt w:val="decimal"/>
      <w:lvlText w:val="%7."/>
      <w:lvlJc w:val="left"/>
      <w:pPr>
        <w:ind w:left="720" w:hanging="360"/>
      </w:pPr>
    </w:lvl>
    <w:lvl w:ilvl="7">
      <w:start w:val="1"/>
      <w:numFmt w:val="upperLetter"/>
      <w:lvlText w:val="%8)"/>
      <w:lvlJc w:val="left"/>
      <w:pPr>
        <w:ind w:left="1080" w:hanging="360"/>
      </w:pPr>
    </w:lvl>
    <w:lvl w:ilvl="8">
      <w:start w:val="1"/>
      <w:numFmt w:val="upperLetter"/>
      <w:lvlText w:val="%9)"/>
      <w:lvlJc w:val="left"/>
      <w:pPr>
        <w:ind w:left="1080" w:hanging="360"/>
      </w:pPr>
    </w:lvl>
  </w:abstractNum>
  <w:abstractNum w:abstractNumId="1">
    <w:nsid w:val="8af2fbe"/>
    <w:multiLevelType w:val="hybridMultilevel"/>
    <w:lvl w:ilvl="0">
      <w:start w:val="1"/>
      <w:numFmt w:val="bullet"/>
      <w:lvlText w:val="⊚"/>
      <w:lvlJc w:val="left"/>
      <w:pPr>
        <w:ind w:left="1080" w:hanging="360"/>
      </w:pPr>
    </w:lvl>
    <w:lvl w:ilvl="1">
      <w:start w:val="1"/>
      <w:numFmt w:val="bullet"/>
      <w:lvlText w:val=""/>
      <w:lvlJc w:val="left"/>
      <w:pPr>
        <w:ind w:left="72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decimal"/>
      <w:lvlText w:val="%6)"/>
      <w:lvlJc w:val="left"/>
      <w:pPr>
        <w:ind w:left="360" w:hanging="360"/>
      </w:pPr>
    </w:lvl>
    <w:lvl w:ilvl="6">
      <w:start w:val="1"/>
      <w:numFmt w:val="decimal"/>
      <w:lvlText w:val="%6.%7)"/>
      <w:lvlJc w:val="left"/>
      <w:pPr>
        <w:ind w:left="360" w:hanging="360"/>
      </w:pPr>
    </w:lvl>
    <w:lvl w:ilvl="7">
      <w:start w:val="1"/>
      <w:numFmt w:val="decimal"/>
      <w:lvlText w:val="%8)"/>
      <w:lvlJc w:val="left"/>
      <w:pPr>
        <w:ind w:left="360" w:hanging="360"/>
      </w:pPr>
    </w:lvl>
    <w:lvl w:ilvl="8">
      <w:start w:val="1"/>
      <w:numFmt w:val="decimal"/>
      <w:lvlText w:val="%8.%9)"/>
      <w:lvlJc w:val="left"/>
      <w:pPr>
        <w:ind w:left="360" w:hanging="360"/>
      </w:pPr>
    </w:lvl>
  </w:abstractNum>
  <w:abstractNum w:abstractNumId="3">
    <w:nsid w:val="3eddd45"/>
    <w:multiLevelType w:val="hybridMultilevel"/>
    <w:lvl w:ilvl="1">
      <w:start w:val="1"/>
      <w:numFmt w:val="bullet"/>
      <w:lvlText w:val=""/>
      <w:lvlJc w:val="left"/>
      <w:pPr>
        <w:ind w:left="720" w:hanging="360"/>
      </w:pPr>
      <w:rPr>
        <w:rFonts w:hint="default" w:ascii="Courier New" w:hAnsi="Courier New"/>
      </w:rPr>
    </w:lvl>
  </w:abstractNum>
  <w:num w:numId="2">
    <w:abstractNumId w:val="2"/>
  </w:num>
  <w:num w:numId="3">
    <w:abstractNumId w:val="3"/>
  </w:num>
  <w:num w:numId="1">
    <w:abstractNumId w:val="1"/>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footer.xml" Type="http://schemas.openxmlformats.org/officeDocument/2006/relationships/footer" Id="rId3"/>
    <Relationship Target="numbering.xml" Type="http://schemas.openxmlformats.org/officeDocument/2006/relationships/numbering" Id="rId4"/>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

<file path=docProps/custom.xml><?xml version="1.0" encoding="utf-8"?>
<prop:Properties xmlns:vt="http://schemas.openxmlformats.org/officeDocument/2006/docPropsVTypes" xmlns:prop="http://schemas.openxmlformats.org/officeDocument/2006/custom-properties">
  <prop:property fmtid="{D5CDD505-2E9C-101B-9397-08002B2CF9AE}" pid="2" name="Copyright">
    <vt:lpwstr>Some content may be Copyright, McGraw Hill LLC</vt:lpwstr>
  </prop:property>
</prop:Properties>
</file>